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DBF874">
      <w:pPr>
        <w:pStyle w:val="7"/>
        <w:jc w:val="center"/>
        <w:rPr>
          <w:rFonts w:hint="default" w:ascii="方正小标宋简体" w:hAnsi="方正小标宋简体" w:eastAsia="宋体" w:cs="方正小标宋简体"/>
          <w:bCs/>
          <w:color w:val="auto"/>
          <w:sz w:val="44"/>
          <w:szCs w:val="44"/>
          <w:lang w:val="en-US" w:eastAsia="zh-CN"/>
        </w:rPr>
      </w:pPr>
      <w:r>
        <w:rPr>
          <w:rFonts w:hint="eastAsia" w:ascii="仿宋" w:hAnsi="仿宋" w:eastAsia="仿宋" w:cs="仿宋"/>
          <w:color w:val="auto"/>
          <w:kern w:val="2"/>
          <w:sz w:val="36"/>
          <w:szCs w:val="36"/>
          <w:lang w:val="en-US" w:eastAsia="zh-CN" w:bidi="ar-SA"/>
        </w:rPr>
        <w:t>成都市新津区中医医院特殊患者安全转运服务采购项目询预算价公示（二次）</w:t>
      </w:r>
    </w:p>
    <w:p w14:paraId="3D73D342">
      <w:pPr>
        <w:spacing w:line="700" w:lineRule="exact"/>
        <w:jc w:val="both"/>
        <w:rPr>
          <w:rFonts w:hint="eastAsia" w:ascii="方正小标宋简体" w:hAnsi="方正小标宋简体" w:eastAsia="方正小标宋简体" w:cs="方正小标宋简体"/>
          <w:bCs/>
          <w:color w:val="auto"/>
          <w:sz w:val="44"/>
          <w:szCs w:val="44"/>
          <w:lang w:val="en-US" w:eastAsia="zh-CN"/>
        </w:rPr>
      </w:pPr>
    </w:p>
    <w:p w14:paraId="5EAD4A9D">
      <w:pPr>
        <w:spacing w:line="360" w:lineRule="auto"/>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各潜在供应商：</w:t>
      </w:r>
    </w:p>
    <w:p w14:paraId="3D58EF04">
      <w:pPr>
        <w:spacing w:line="360" w:lineRule="auto"/>
        <w:ind w:firstLine="560" w:firstLineChars="20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根据医院业务需要，我院拟采购特殊患者安全转运服务项目。现将具体采购需求公告如下，各潜在供应商如有意向参与，请主动与我院联系，并在公示期内提供以下资料，以便初步甄选。</w:t>
      </w:r>
    </w:p>
    <w:p w14:paraId="640C3185">
      <w:pPr>
        <w:numPr>
          <w:ilvl w:val="0"/>
          <w:numId w:val="2"/>
        </w:numPr>
        <w:spacing w:line="560" w:lineRule="exact"/>
        <w:rPr>
          <w:rFonts w:hint="eastAsia" w:ascii="仿宋" w:hAnsi="仿宋" w:eastAsia="仿宋" w:cs="仿宋"/>
          <w:b/>
          <w:bCs/>
          <w:color w:val="auto"/>
          <w:sz w:val="32"/>
          <w:szCs w:val="32"/>
        </w:rPr>
      </w:pPr>
      <w:r>
        <w:rPr>
          <w:rFonts w:hint="eastAsia" w:ascii="宋体" w:hAnsi="宋体" w:eastAsia="宋体" w:cs="宋体"/>
          <w:b/>
          <w:bCs/>
          <w:color w:val="auto"/>
          <w:sz w:val="24"/>
          <w:szCs w:val="24"/>
          <w:highlight w:val="none"/>
        </w:rPr>
        <w:t>★</w:t>
      </w:r>
      <w:r>
        <w:rPr>
          <w:rFonts w:hint="eastAsia" w:ascii="仿宋" w:hAnsi="仿宋" w:eastAsia="仿宋" w:cs="仿宋"/>
          <w:b/>
          <w:bCs/>
          <w:color w:val="auto"/>
          <w:sz w:val="32"/>
          <w:szCs w:val="32"/>
        </w:rPr>
        <w:t>公司情况介绍：</w:t>
      </w:r>
    </w:p>
    <w:p w14:paraId="1550F1B8">
      <w:pPr>
        <w:spacing w:line="360" w:lineRule="auto"/>
        <w:ind w:firstLine="560" w:firstLineChars="20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1、公司相关业务情况、业绩简介。</w:t>
      </w:r>
    </w:p>
    <w:p w14:paraId="017BA2A8">
      <w:pPr>
        <w:spacing w:line="360" w:lineRule="auto"/>
        <w:ind w:firstLine="560" w:firstLineChars="20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2、公司营业执照复印件；公司法人身份证复印件，或授权委托书及授权委托人身份证复印件。</w:t>
      </w:r>
    </w:p>
    <w:p w14:paraId="1116819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lang w:val="en-US" w:eastAsia="zh-CN"/>
        </w:rPr>
      </w:pPr>
      <w:r>
        <w:rPr>
          <w:rFonts w:hint="eastAsia" w:ascii="仿宋" w:hAnsi="仿宋" w:eastAsia="仿宋" w:cs="仿宋"/>
          <w:color w:val="auto"/>
          <w:sz w:val="28"/>
          <w:szCs w:val="28"/>
          <w:lang w:val="en-US" w:eastAsia="zh-CN"/>
        </w:rPr>
        <w:t xml:space="preserve"> 3、</w:t>
      </w:r>
      <w:r>
        <w:rPr>
          <w:rFonts w:hint="eastAsia" w:ascii="仿宋" w:hAnsi="仿宋" w:eastAsia="仿宋" w:cs="仿宋"/>
          <w:color w:val="auto"/>
          <w:sz w:val="28"/>
          <w:szCs w:val="28"/>
          <w:highlight w:val="none"/>
          <w:lang w:val="en-US" w:eastAsia="zh-CN"/>
        </w:rPr>
        <w:t>投标人具备医疗器械经营备案凭证或生产许可证。</w:t>
      </w:r>
    </w:p>
    <w:p w14:paraId="6E202725">
      <w:pPr>
        <w:numPr>
          <w:ilvl w:val="0"/>
          <w:numId w:val="2"/>
        </w:numPr>
        <w:spacing w:line="560" w:lineRule="exact"/>
        <w:rPr>
          <w:rFonts w:hint="eastAsia" w:ascii="仿宋" w:hAnsi="仿宋" w:eastAsia="仿宋" w:cs="仿宋"/>
          <w:b/>
          <w:bCs/>
          <w:color w:val="auto"/>
          <w:sz w:val="32"/>
          <w:szCs w:val="32"/>
        </w:rPr>
      </w:pPr>
      <w:r>
        <w:rPr>
          <w:rFonts w:hint="eastAsia" w:ascii="仿宋" w:hAnsi="仿宋" w:eastAsia="仿宋" w:cs="仿宋"/>
          <w:b/>
          <w:bCs/>
          <w:color w:val="auto"/>
          <w:sz w:val="32"/>
          <w:szCs w:val="32"/>
        </w:rPr>
        <w:t>报名要求：</w:t>
      </w:r>
    </w:p>
    <w:p w14:paraId="11E73868">
      <w:pPr>
        <w:spacing w:line="360" w:lineRule="auto"/>
        <w:ind w:firstLine="560" w:firstLineChars="200"/>
        <w:jc w:val="left"/>
        <w:rPr>
          <w:rFonts w:hint="default" w:ascii="Times New Roman" w:hAnsi="Times New Roman" w:eastAsia="仿宋" w:cs="Times New Roman"/>
          <w:color w:val="auto"/>
          <w:sz w:val="28"/>
          <w:szCs w:val="28"/>
          <w:lang w:val="en-US" w:eastAsia="zh-CN"/>
        </w:rPr>
      </w:pPr>
      <w:r>
        <w:rPr>
          <w:rFonts w:hint="eastAsia" w:ascii="仿宋" w:hAnsi="仿宋" w:eastAsia="仿宋" w:cs="仿宋"/>
          <w:color w:val="auto"/>
          <w:sz w:val="28"/>
          <w:szCs w:val="28"/>
          <w:lang w:val="en-US" w:eastAsia="zh-CN"/>
        </w:rPr>
        <w:t>1、资料必须密封，现场递交成都市新津区中医医院采购部</w:t>
      </w:r>
      <w:r>
        <w:rPr>
          <w:rFonts w:hint="default" w:ascii="Times New Roman" w:hAnsi="Times New Roman" w:eastAsia="仿宋" w:cs="Times New Roman"/>
          <w:color w:val="auto"/>
          <w:sz w:val="28"/>
          <w:szCs w:val="28"/>
          <w:lang w:val="en-US" w:eastAsia="zh-CN"/>
        </w:rPr>
        <w:t>（</w:t>
      </w:r>
      <w:r>
        <w:rPr>
          <w:rFonts w:hint="default" w:ascii="Times New Roman" w:hAnsi="Times New Roman" w:eastAsia="仿宋" w:cs="Times New Roman"/>
          <w:b/>
          <w:bCs/>
          <w:color w:val="FF0000"/>
          <w:sz w:val="28"/>
          <w:szCs w:val="28"/>
          <w:lang w:val="en-US" w:eastAsia="zh-CN"/>
        </w:rPr>
        <w:t>医院行政办公区</w:t>
      </w:r>
      <w:r>
        <w:rPr>
          <w:rFonts w:hint="eastAsia" w:eastAsia="仿宋" w:cs="Times New Roman"/>
          <w:b/>
          <w:bCs/>
          <w:color w:val="FF0000"/>
          <w:sz w:val="28"/>
          <w:szCs w:val="28"/>
          <w:lang w:val="en-US" w:eastAsia="zh-CN"/>
        </w:rPr>
        <w:t>一</w:t>
      </w:r>
      <w:r>
        <w:rPr>
          <w:rFonts w:hint="default" w:ascii="Times New Roman" w:hAnsi="Times New Roman" w:eastAsia="仿宋" w:cs="Times New Roman"/>
          <w:b/>
          <w:bCs/>
          <w:color w:val="FF0000"/>
          <w:sz w:val="28"/>
          <w:szCs w:val="28"/>
          <w:lang w:val="en-US" w:eastAsia="zh-CN"/>
        </w:rPr>
        <w:t>楼</w:t>
      </w:r>
      <w:r>
        <w:rPr>
          <w:rFonts w:hint="eastAsia" w:eastAsia="仿宋" w:cs="Times New Roman"/>
          <w:b/>
          <w:bCs/>
          <w:color w:val="FF0000"/>
          <w:sz w:val="28"/>
          <w:szCs w:val="28"/>
          <w:lang w:val="en-US" w:eastAsia="zh-CN"/>
        </w:rPr>
        <w:t>，原儒林幼儿园</w:t>
      </w:r>
      <w:r>
        <w:rPr>
          <w:rFonts w:hint="default" w:ascii="Times New Roman" w:hAnsi="Times New Roman" w:eastAsia="仿宋" w:cs="Times New Roman"/>
          <w:color w:val="auto"/>
          <w:sz w:val="28"/>
          <w:szCs w:val="28"/>
          <w:lang w:val="en-US" w:eastAsia="zh-CN"/>
        </w:rPr>
        <w:t>）。</w:t>
      </w:r>
    </w:p>
    <w:p w14:paraId="6D45B460">
      <w:pPr>
        <w:spacing w:line="360" w:lineRule="auto"/>
        <w:ind w:firstLine="560" w:firstLineChars="20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2、报价资料需按照医院要求格式报价。（附件2）</w:t>
      </w:r>
    </w:p>
    <w:p w14:paraId="0EDEDEDA">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3、提供电子版报价资料和相关服务方案简介资料，可优化和细化功能参数，以便医院甄选使用（</w:t>
      </w:r>
      <w:r>
        <w:rPr>
          <w:rFonts w:hint="eastAsia" w:ascii="仿宋" w:hAnsi="仿宋" w:eastAsia="仿宋" w:cs="仿宋"/>
          <w:b/>
          <w:bCs/>
          <w:color w:val="FF0000"/>
          <w:sz w:val="28"/>
          <w:szCs w:val="28"/>
        </w:rPr>
        <w:t>本项目</w:t>
      </w:r>
      <w:r>
        <w:rPr>
          <w:rFonts w:hint="eastAsia" w:ascii="仿宋" w:hAnsi="仿宋" w:eastAsia="仿宋" w:cs="仿宋"/>
          <w:b/>
          <w:bCs/>
          <w:color w:val="FF0000"/>
          <w:sz w:val="28"/>
          <w:szCs w:val="28"/>
          <w:lang w:val="en-US" w:eastAsia="zh-CN"/>
        </w:rPr>
        <w:t>无</w:t>
      </w:r>
      <w:r>
        <w:rPr>
          <w:rFonts w:hint="eastAsia" w:ascii="仿宋" w:hAnsi="仿宋" w:eastAsia="仿宋" w:cs="仿宋"/>
          <w:b/>
          <w:bCs/>
          <w:color w:val="FF0000"/>
          <w:sz w:val="28"/>
          <w:szCs w:val="28"/>
        </w:rPr>
        <w:t>需电子报价</w:t>
      </w:r>
      <w:r>
        <w:rPr>
          <w:rFonts w:hint="eastAsia" w:ascii="仿宋" w:hAnsi="仿宋" w:eastAsia="仿宋" w:cs="仿宋"/>
          <w:sz w:val="28"/>
          <w:szCs w:val="28"/>
        </w:rPr>
        <w:t>）</w:t>
      </w:r>
    </w:p>
    <w:p w14:paraId="11D4DA37">
      <w:pPr>
        <w:spacing w:line="360" w:lineRule="auto"/>
        <w:ind w:firstLine="560" w:firstLineChars="20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4、参与供应商应符合《政府采购法》第二十二条的相关资质要求，具备相关资质。并提供相关证明材料或承诺函。 </w:t>
      </w:r>
    </w:p>
    <w:p w14:paraId="18720D96">
      <w:pPr>
        <w:spacing w:line="360" w:lineRule="auto"/>
        <w:ind w:firstLine="560" w:firstLineChars="20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5、拟参与本项目的供应商如需了解项目情况，自行对接该项目负责人了解相关信息。</w:t>
      </w:r>
    </w:p>
    <w:p w14:paraId="053AA85D">
      <w:pPr>
        <w:spacing w:line="360" w:lineRule="auto"/>
        <w:ind w:firstLine="560" w:firstLineChars="200"/>
        <w:jc w:val="left"/>
        <w:rPr>
          <w:color w:val="auto"/>
        </w:rPr>
      </w:pPr>
      <w:r>
        <w:rPr>
          <w:rFonts w:hint="eastAsia" w:ascii="仿宋" w:hAnsi="仿宋" w:eastAsia="仿宋" w:cs="仿宋"/>
          <w:color w:val="auto"/>
          <w:sz w:val="28"/>
          <w:szCs w:val="28"/>
          <w:lang w:val="en-US" w:eastAsia="zh-CN"/>
        </w:rPr>
        <w:t>6、所有递交资料及相关证明材料必须加盖供应商鲜章有效。</w:t>
      </w:r>
    </w:p>
    <w:p w14:paraId="53F6BAEA">
      <w:pPr>
        <w:numPr>
          <w:ilvl w:val="0"/>
          <w:numId w:val="2"/>
        </w:numPr>
        <w:spacing w:line="560" w:lineRule="exact"/>
        <w:rPr>
          <w:rFonts w:hint="eastAsia" w:ascii="仿宋" w:hAnsi="仿宋" w:eastAsia="仿宋" w:cs="仿宋"/>
          <w:b/>
          <w:bCs/>
          <w:color w:val="auto"/>
          <w:sz w:val="32"/>
          <w:szCs w:val="32"/>
        </w:rPr>
      </w:pPr>
      <w:r>
        <w:rPr>
          <w:rFonts w:hint="eastAsia" w:ascii="仿宋" w:hAnsi="仿宋" w:eastAsia="仿宋" w:cs="仿宋"/>
          <w:b/>
          <w:bCs/>
          <w:color w:val="auto"/>
          <w:sz w:val="32"/>
          <w:szCs w:val="32"/>
        </w:rPr>
        <w:t>本次公开询价结果只作为本项目采购预算价，不作为成交价。</w:t>
      </w:r>
    </w:p>
    <w:p w14:paraId="08556C05">
      <w:pPr>
        <w:numPr>
          <w:ilvl w:val="0"/>
          <w:numId w:val="2"/>
        </w:numPr>
        <w:spacing w:line="560" w:lineRule="exact"/>
        <w:rPr>
          <w:rFonts w:hint="eastAsia" w:ascii="仿宋" w:hAnsi="仿宋" w:eastAsia="仿宋" w:cs="仿宋"/>
          <w:b/>
          <w:bCs/>
          <w:color w:val="auto"/>
          <w:sz w:val="32"/>
          <w:szCs w:val="32"/>
        </w:rPr>
      </w:pPr>
      <w:r>
        <w:rPr>
          <w:rFonts w:hint="eastAsia" w:ascii="仿宋" w:hAnsi="仿宋" w:eastAsia="仿宋" w:cs="仿宋"/>
          <w:b/>
          <w:bCs/>
          <w:color w:val="auto"/>
          <w:sz w:val="32"/>
          <w:szCs w:val="32"/>
        </w:rPr>
        <w:t>其他事项</w:t>
      </w:r>
    </w:p>
    <w:p w14:paraId="68FD5C6A">
      <w:pPr>
        <w:spacing w:line="360" w:lineRule="auto"/>
        <w:ind w:firstLine="560" w:firstLineChars="200"/>
        <w:jc w:val="left"/>
        <w:rPr>
          <w:rFonts w:hint="default" w:ascii="仿宋" w:hAnsi="仿宋" w:eastAsia="仿宋" w:cs="仿宋"/>
          <w:color w:val="auto"/>
          <w:sz w:val="28"/>
          <w:szCs w:val="28"/>
          <w:lang w:val="en-US" w:eastAsia="zh-CN"/>
        </w:rPr>
      </w:pPr>
      <w:bookmarkStart w:id="0" w:name="_Toc20665"/>
      <w:bookmarkStart w:id="1" w:name="_Toc20249"/>
      <w:r>
        <w:rPr>
          <w:rFonts w:hint="eastAsia" w:ascii="仿宋" w:hAnsi="仿宋" w:eastAsia="仿宋" w:cs="仿宋"/>
          <w:color w:val="auto"/>
          <w:sz w:val="28"/>
          <w:szCs w:val="28"/>
          <w:lang w:val="en-US" w:eastAsia="zh-CN"/>
        </w:rPr>
        <w:t>1、报名资料接收时间：（2026年10月26日-2026年10月29日；文件接收截止日期：2026年11月2日16：00）递交资料人员须为法人或授权委托人并提供证明文件查看。报名登记表见附件3。</w:t>
      </w:r>
    </w:p>
    <w:p w14:paraId="454F1550">
      <w:pPr>
        <w:spacing w:line="360" w:lineRule="auto"/>
        <w:ind w:firstLine="560" w:firstLineChars="20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2、公示人：成都市新津区中医医院 地址：成都市新津区西创大道1389号。</w:t>
      </w:r>
    </w:p>
    <w:p w14:paraId="35C790C4">
      <w:pPr>
        <w:spacing w:line="360" w:lineRule="auto"/>
        <w:ind w:firstLine="560" w:firstLineChars="200"/>
        <w:jc w:val="left"/>
        <w:rPr>
          <w:rFonts w:hint="default" w:hAnsi="宋体" w:cs="仿宋_GB2312"/>
          <w:color w:val="auto"/>
          <w:sz w:val="28"/>
          <w:szCs w:val="28"/>
          <w:lang w:val="en-US" w:eastAsia="zh-CN"/>
        </w:rPr>
      </w:pPr>
      <w:r>
        <w:rPr>
          <w:rFonts w:hint="eastAsia" w:ascii="仿宋" w:hAnsi="仿宋" w:eastAsia="仿宋" w:cs="仿宋"/>
          <w:color w:val="auto"/>
          <w:sz w:val="28"/>
          <w:szCs w:val="28"/>
          <w:lang w:val="en-US" w:eastAsia="zh-CN"/>
        </w:rPr>
        <w:t>3、报名联系人：潘老师、周老师028-82526150 ；项目咨询联系人：陈老师，13982085772。</w:t>
      </w:r>
      <w:bookmarkStart w:id="2" w:name="_GoBack"/>
      <w:bookmarkEnd w:id="2"/>
    </w:p>
    <w:p w14:paraId="56EC0838">
      <w:pPr>
        <w:spacing w:line="360" w:lineRule="auto"/>
        <w:ind w:firstLine="560" w:firstLineChars="200"/>
        <w:jc w:val="left"/>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4、报名供应商可通过邮箱845865477@qq.com报名。报名需提交报名登记表及登记表要求的相关资质资料（盖公章）。</w:t>
      </w:r>
    </w:p>
    <w:p w14:paraId="69051BC5">
      <w:pPr>
        <w:numPr>
          <w:ilvl w:val="0"/>
          <w:numId w:val="0"/>
        </w:numPr>
        <w:spacing w:line="560" w:lineRule="exact"/>
        <w:rPr>
          <w:rFonts w:hint="eastAsia" w:ascii="仿宋" w:hAnsi="仿宋" w:eastAsia="仿宋" w:cs="仿宋"/>
          <w:b/>
          <w:bCs/>
          <w:color w:val="auto"/>
          <w:sz w:val="32"/>
          <w:szCs w:val="32"/>
          <w:lang w:val="en-US" w:eastAsia="zh-CN"/>
        </w:rPr>
      </w:pPr>
    </w:p>
    <w:p w14:paraId="6C596645">
      <w:pPr>
        <w:numPr>
          <w:ilvl w:val="0"/>
          <w:numId w:val="0"/>
        </w:numPr>
        <w:spacing w:line="560" w:lineRule="exact"/>
        <w:rPr>
          <w:rFonts w:hint="eastAsia" w:ascii="仿宋" w:hAnsi="仿宋" w:eastAsia="仿宋" w:cs="仿宋"/>
          <w:b/>
          <w:bCs/>
          <w:color w:val="auto"/>
          <w:sz w:val="32"/>
          <w:szCs w:val="32"/>
          <w:lang w:val="en-US" w:eastAsia="zh-CN"/>
        </w:rPr>
      </w:pPr>
    </w:p>
    <w:p w14:paraId="290D44DF">
      <w:pPr>
        <w:numPr>
          <w:ilvl w:val="0"/>
          <w:numId w:val="0"/>
        </w:numPr>
        <w:spacing w:line="560" w:lineRule="exact"/>
        <w:rPr>
          <w:rFonts w:hint="eastAsia" w:ascii="仿宋" w:hAnsi="仿宋" w:eastAsia="仿宋" w:cs="仿宋"/>
          <w:b/>
          <w:bCs/>
          <w:color w:val="auto"/>
          <w:sz w:val="32"/>
          <w:szCs w:val="32"/>
          <w:lang w:val="en-US" w:eastAsia="zh-CN"/>
        </w:rPr>
      </w:pPr>
    </w:p>
    <w:p w14:paraId="3B97DEFB">
      <w:pPr>
        <w:numPr>
          <w:ilvl w:val="0"/>
          <w:numId w:val="0"/>
        </w:numPr>
        <w:spacing w:line="560" w:lineRule="exact"/>
        <w:rPr>
          <w:rFonts w:hint="eastAsia" w:ascii="仿宋" w:hAnsi="仿宋" w:eastAsia="仿宋" w:cs="仿宋"/>
          <w:b/>
          <w:bCs/>
          <w:color w:val="auto"/>
          <w:sz w:val="32"/>
          <w:szCs w:val="32"/>
          <w:lang w:val="en-US" w:eastAsia="zh-CN"/>
        </w:rPr>
      </w:pPr>
    </w:p>
    <w:p w14:paraId="074C1B3A">
      <w:pPr>
        <w:numPr>
          <w:ilvl w:val="0"/>
          <w:numId w:val="0"/>
        </w:numPr>
        <w:spacing w:line="560" w:lineRule="exact"/>
        <w:rPr>
          <w:rFonts w:hint="eastAsia" w:ascii="仿宋" w:hAnsi="仿宋" w:eastAsia="仿宋" w:cs="仿宋"/>
          <w:b/>
          <w:bCs/>
          <w:color w:val="auto"/>
          <w:sz w:val="32"/>
          <w:szCs w:val="32"/>
          <w:lang w:val="en-US" w:eastAsia="zh-CN"/>
        </w:rPr>
      </w:pPr>
    </w:p>
    <w:p w14:paraId="4BCED486">
      <w:pPr>
        <w:pStyle w:val="7"/>
        <w:rPr>
          <w:rFonts w:hint="eastAsia" w:ascii="仿宋" w:hAnsi="仿宋" w:eastAsia="仿宋" w:cs="仿宋"/>
          <w:b/>
          <w:bCs/>
          <w:color w:val="auto"/>
          <w:sz w:val="32"/>
          <w:szCs w:val="32"/>
          <w:lang w:val="en-US" w:eastAsia="zh-CN"/>
        </w:rPr>
      </w:pPr>
    </w:p>
    <w:p w14:paraId="04E3D95E">
      <w:pPr>
        <w:pStyle w:val="14"/>
        <w:rPr>
          <w:rFonts w:hint="eastAsia"/>
          <w:lang w:val="en-US" w:eastAsia="zh-CN"/>
        </w:rPr>
      </w:pPr>
    </w:p>
    <w:p w14:paraId="3BA2C8EF">
      <w:pPr>
        <w:numPr>
          <w:ilvl w:val="0"/>
          <w:numId w:val="0"/>
        </w:numPr>
        <w:spacing w:line="560" w:lineRule="exact"/>
        <w:rPr>
          <w:rFonts w:hint="eastAsia" w:ascii="仿宋" w:hAnsi="仿宋" w:eastAsia="仿宋" w:cs="仿宋"/>
          <w:b/>
          <w:bCs/>
          <w:color w:val="auto"/>
          <w:sz w:val="32"/>
          <w:szCs w:val="32"/>
          <w:lang w:val="en-US" w:eastAsia="zh-CN"/>
        </w:rPr>
      </w:pPr>
    </w:p>
    <w:p w14:paraId="659C3763">
      <w:pPr>
        <w:numPr>
          <w:ilvl w:val="0"/>
          <w:numId w:val="0"/>
        </w:numPr>
        <w:spacing w:line="560" w:lineRule="exact"/>
        <w:rPr>
          <w:rFonts w:hint="eastAsia" w:ascii="仿宋" w:hAnsi="仿宋" w:eastAsia="仿宋" w:cs="仿宋"/>
          <w:b/>
          <w:bCs/>
          <w:color w:val="auto"/>
          <w:sz w:val="32"/>
          <w:szCs w:val="32"/>
          <w:lang w:val="en-US" w:eastAsia="zh-CN"/>
        </w:rPr>
      </w:pPr>
    </w:p>
    <w:p w14:paraId="2F118B8E">
      <w:pPr>
        <w:numPr>
          <w:ilvl w:val="0"/>
          <w:numId w:val="0"/>
        </w:numPr>
        <w:spacing w:line="560" w:lineRule="exact"/>
        <w:rPr>
          <w:rFonts w:hint="eastAsia"/>
          <w:lang w:val="en-US" w:eastAsia="zh-CN"/>
        </w:rPr>
      </w:pPr>
      <w:r>
        <w:rPr>
          <w:rFonts w:hint="eastAsia" w:ascii="仿宋" w:hAnsi="仿宋" w:eastAsia="仿宋" w:cs="仿宋"/>
          <w:b/>
          <w:bCs/>
          <w:color w:val="auto"/>
          <w:sz w:val="32"/>
          <w:szCs w:val="32"/>
          <w:lang w:val="en-US" w:eastAsia="zh-CN"/>
        </w:rPr>
        <w:t>附件1：采购需求</w:t>
      </w:r>
    </w:p>
    <w:p w14:paraId="37F62CB0">
      <w:pPr>
        <w:spacing w:line="500" w:lineRule="exact"/>
        <w:rPr>
          <w:rFonts w:hint="eastAsia" w:ascii="仿宋" w:hAnsi="仿宋" w:eastAsia="仿宋" w:cs="仿宋"/>
          <w:sz w:val="30"/>
          <w:szCs w:val="30"/>
          <w:lang w:val="en-US" w:eastAsia="zh-CN"/>
        </w:rPr>
      </w:pPr>
      <w:r>
        <w:rPr>
          <w:rFonts w:hint="eastAsia" w:ascii="仿宋" w:hAnsi="仿宋" w:eastAsia="仿宋" w:cs="仿宋"/>
          <w:sz w:val="30"/>
          <w:szCs w:val="30"/>
        </w:rPr>
        <w:t>一、</w:t>
      </w:r>
      <w:r>
        <w:rPr>
          <w:rFonts w:hint="eastAsia" w:ascii="仿宋" w:hAnsi="仿宋" w:eastAsia="仿宋" w:cs="仿宋"/>
          <w:sz w:val="30"/>
          <w:szCs w:val="30"/>
          <w:lang w:val="en-US" w:eastAsia="zh-CN"/>
        </w:rPr>
        <w:t>项目概况</w:t>
      </w:r>
    </w:p>
    <w:p w14:paraId="1B66CA67">
      <w:pPr>
        <w:keepNext w:val="0"/>
        <w:keepLines w:val="0"/>
        <w:pageBreakBefore w:val="0"/>
        <w:widowControl w:val="0"/>
        <w:kinsoku/>
        <w:wordWrap/>
        <w:overflowPunct/>
        <w:topLinePunct w:val="0"/>
        <w:autoSpaceDE/>
        <w:autoSpaceDN/>
        <w:bidi w:val="0"/>
        <w:adjustRightInd/>
        <w:snapToGrid/>
        <w:spacing w:line="480" w:lineRule="auto"/>
        <w:ind w:firstLine="600" w:firstLineChars="200"/>
        <w:jc w:val="both"/>
        <w:textAlignment w:val="auto"/>
        <w:rPr>
          <w:rFonts w:hint="eastAsia" w:ascii="仿宋" w:hAnsi="仿宋" w:eastAsia="仿宋" w:cs="仿宋"/>
          <w:b w:val="0"/>
          <w:bCs w:val="0"/>
          <w:sz w:val="30"/>
          <w:szCs w:val="30"/>
          <w:vertAlign w:val="baseline"/>
          <w:lang w:eastAsia="zh-CN"/>
        </w:rPr>
      </w:pPr>
      <w:r>
        <w:rPr>
          <w:rFonts w:hint="eastAsia" w:ascii="仿宋" w:hAnsi="仿宋" w:eastAsia="仿宋" w:cs="仿宋"/>
          <w:b w:val="0"/>
          <w:bCs w:val="0"/>
          <w:sz w:val="30"/>
          <w:szCs w:val="30"/>
          <w:vertAlign w:val="baseline"/>
          <w:lang w:eastAsia="zh-CN"/>
        </w:rPr>
        <w:t>本项目为院内非急救特殊患者安全转运服务，服务对象：躯体移动障碍、术后康复期、高龄体弱、行动受限等需要辅助转移的院内患者；仅开展院内科室之间转运，不承担院外急救、院前急救业务。由中标供应商投入全套智能转运设备、软件管理系统、作业人员，独立运营；患者</w:t>
      </w:r>
      <w:r>
        <w:rPr>
          <w:rFonts w:hint="eastAsia" w:ascii="仿宋" w:hAnsi="仿宋" w:eastAsia="仿宋" w:cs="仿宋"/>
          <w:b w:val="0"/>
          <w:bCs w:val="0"/>
          <w:sz w:val="30"/>
          <w:szCs w:val="30"/>
          <w:vertAlign w:val="baseline"/>
          <w:lang w:val="en-US" w:eastAsia="zh-CN"/>
        </w:rPr>
        <w:t>/</w:t>
      </w:r>
      <w:r>
        <w:rPr>
          <w:rFonts w:hint="eastAsia" w:ascii="仿宋" w:hAnsi="仿宋" w:eastAsia="仿宋" w:cs="仿宋"/>
          <w:b w:val="0"/>
          <w:bCs w:val="0"/>
          <w:sz w:val="30"/>
          <w:szCs w:val="30"/>
          <w:vertAlign w:val="baseline"/>
          <w:lang w:eastAsia="zh-CN"/>
        </w:rPr>
        <w:t>家属自费扫码购买服务；医院提供场地、电源，履行监管职责，不参与资金收取与流转。项目</w:t>
      </w:r>
      <w:r>
        <w:rPr>
          <w:rFonts w:hint="eastAsia" w:ascii="仿宋" w:hAnsi="仿宋" w:eastAsia="仿宋" w:cs="仿宋"/>
          <w:b w:val="0"/>
          <w:bCs w:val="0"/>
          <w:sz w:val="30"/>
          <w:szCs w:val="30"/>
          <w:vertAlign w:val="baseline"/>
          <w:lang w:val="en-US" w:eastAsia="zh-CN"/>
        </w:rPr>
        <w:t>服务</w:t>
      </w:r>
      <w:r>
        <w:rPr>
          <w:rFonts w:hint="eastAsia" w:ascii="仿宋" w:hAnsi="仿宋" w:eastAsia="仿宋" w:cs="仿宋"/>
          <w:b w:val="0"/>
          <w:bCs w:val="0"/>
          <w:sz w:val="30"/>
          <w:szCs w:val="30"/>
          <w:vertAlign w:val="baseline"/>
          <w:lang w:eastAsia="zh-CN"/>
        </w:rPr>
        <w:t>地点：成都市新津区中医医院普兴院区，编制床位 605 张，总建筑面积约 4.4 万㎡。</w:t>
      </w:r>
    </w:p>
    <w:p w14:paraId="6A0AB451">
      <w:pPr>
        <w:spacing w:line="600" w:lineRule="exact"/>
        <w:rPr>
          <w:rFonts w:hint="eastAsia" w:ascii="仿宋" w:hAnsi="仿宋" w:eastAsia="仿宋" w:cs="仿宋"/>
          <w:sz w:val="30"/>
          <w:szCs w:val="30"/>
          <w:lang w:val="en-US" w:eastAsia="zh-CN"/>
        </w:rPr>
      </w:pPr>
      <w:r>
        <w:rPr>
          <w:rFonts w:hint="eastAsia" w:ascii="仿宋" w:hAnsi="仿宋" w:eastAsia="仿宋" w:cs="仿宋"/>
          <w:sz w:val="30"/>
          <w:szCs w:val="30"/>
        </w:rPr>
        <w:t>★二、</w:t>
      </w:r>
      <w:r>
        <w:rPr>
          <w:rFonts w:hint="eastAsia" w:ascii="仿宋" w:hAnsi="仿宋" w:eastAsia="仿宋" w:cs="仿宋"/>
          <w:b w:val="0"/>
          <w:bCs w:val="0"/>
          <w:color w:val="000000"/>
          <w:kern w:val="2"/>
          <w:sz w:val="30"/>
          <w:szCs w:val="30"/>
          <w:lang w:val="en-US" w:eastAsia="zh-CN" w:bidi="ar-SA"/>
        </w:rPr>
        <w:t>技术要求</w:t>
      </w:r>
    </w:p>
    <w:p w14:paraId="70E054E9">
      <w:pPr>
        <w:pStyle w:val="5"/>
        <w:keepNext w:val="0"/>
        <w:keepLines w:val="0"/>
        <w:pageBreakBefore w:val="0"/>
        <w:widowControl/>
        <w:suppressLineNumbers w:val="0"/>
        <w:kinsoku/>
        <w:wordWrap/>
        <w:overflowPunct/>
        <w:topLinePunct w:val="0"/>
        <w:autoSpaceDE/>
        <w:autoSpaceDN/>
        <w:bidi w:val="0"/>
        <w:adjustRightInd/>
        <w:snapToGrid/>
        <w:spacing w:line="480" w:lineRule="auto"/>
        <w:textAlignment w:val="auto"/>
        <w:rPr>
          <w:rFonts w:hint="eastAsia" w:ascii="仿宋" w:hAnsi="仿宋" w:eastAsia="仿宋" w:cs="仿宋"/>
          <w:sz w:val="30"/>
          <w:szCs w:val="30"/>
        </w:rPr>
      </w:pPr>
      <w:r>
        <w:rPr>
          <w:rFonts w:hint="eastAsia" w:ascii="仿宋" w:hAnsi="仿宋" w:eastAsia="仿宋" w:cs="仿宋"/>
          <w:sz w:val="30"/>
          <w:szCs w:val="30"/>
        </w:rPr>
        <w:t>（一）智能转运设备（供应商无偿投入整套设备≥2 台，含全部配套配件、耗材）</w:t>
      </w:r>
    </w:p>
    <w:p w14:paraId="40ECACA3">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sz w:val="30"/>
          <w:szCs w:val="30"/>
          <w:highlight w:val="yellow"/>
        </w:rPr>
      </w:pPr>
      <w:r>
        <w:rPr>
          <w:rFonts w:hint="eastAsia" w:ascii="仿宋" w:hAnsi="仿宋" w:eastAsia="仿宋" w:cs="仿宋"/>
          <w:sz w:val="30"/>
          <w:szCs w:val="30"/>
          <w:lang w:val="en-US" w:eastAsia="zh-CN"/>
        </w:rPr>
        <w:t>1、</w:t>
      </w:r>
      <w:r>
        <w:rPr>
          <w:rFonts w:hint="eastAsia" w:ascii="仿宋" w:hAnsi="仿宋" w:eastAsia="仿宋" w:cs="仿宋"/>
          <w:sz w:val="30"/>
          <w:szCs w:val="30"/>
        </w:rPr>
        <w:t>设备采用双层移位板结构，转运移位过程实现低摩擦，降低患者皮肤剪切力，避免压伤、皮肤损伤；</w:t>
      </w:r>
      <w:r>
        <w:rPr>
          <w:rStyle w:val="19"/>
          <w:rFonts w:hint="eastAsia" w:ascii="仿宋" w:hAnsi="仿宋" w:eastAsia="仿宋" w:cs="仿宋"/>
          <w:color w:val="auto"/>
          <w:sz w:val="30"/>
          <w:szCs w:val="30"/>
          <w:highlight w:val="none"/>
        </w:rPr>
        <w:t>如具有对应专利，可提供专利证书作为证明材料</w:t>
      </w:r>
      <w:r>
        <w:rPr>
          <w:rFonts w:hint="eastAsia" w:ascii="仿宋" w:hAnsi="仿宋" w:eastAsia="仿宋" w:cs="仿宋"/>
          <w:color w:val="auto"/>
          <w:sz w:val="30"/>
          <w:szCs w:val="30"/>
          <w:highlight w:val="none"/>
        </w:rPr>
        <w:t>。</w:t>
      </w:r>
    </w:p>
    <w:p w14:paraId="77E46254">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2、</w:t>
      </w:r>
      <w:r>
        <w:rPr>
          <w:rFonts w:hint="eastAsia" w:ascii="仿宋" w:hAnsi="仿宋" w:eastAsia="仿宋" w:cs="仿宋"/>
          <w:sz w:val="30"/>
          <w:szCs w:val="30"/>
        </w:rPr>
        <w:t>具备自动铺设无菌中单功能，实现一人一换，中单为无菌医用级别，杜绝交叉感染。</w:t>
      </w:r>
    </w:p>
    <w:p w14:paraId="59E7CA92">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3、</w:t>
      </w:r>
      <w:r>
        <w:rPr>
          <w:rFonts w:hint="eastAsia" w:ascii="仿宋" w:hAnsi="仿宋" w:eastAsia="仿宋" w:cs="仿宋"/>
          <w:sz w:val="30"/>
          <w:szCs w:val="30"/>
        </w:rPr>
        <w:t>最大安全承重≥200kg；升降调节范围 500</w:t>
      </w:r>
      <w:r>
        <w:rPr>
          <w:rFonts w:hint="eastAsia" w:ascii="仿宋" w:hAnsi="仿宋" w:eastAsia="仿宋" w:cs="仿宋"/>
          <w:sz w:val="30"/>
          <w:szCs w:val="30"/>
        </w:rPr>
        <w:noBreakHyphen/>
      </w:r>
      <w:r>
        <w:rPr>
          <w:rFonts w:hint="eastAsia" w:ascii="仿宋" w:hAnsi="仿宋" w:eastAsia="仿宋" w:cs="仿宋"/>
          <w:sz w:val="30"/>
          <w:szCs w:val="30"/>
        </w:rPr>
        <w:t>850mm；移位板厚度≤20mm；所有几何尺寸允许 ±2% 公差。</w:t>
      </w:r>
    </w:p>
    <w:p w14:paraId="2265A833">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4、</w:t>
      </w:r>
      <w:r>
        <w:rPr>
          <w:rFonts w:hint="eastAsia" w:ascii="仿宋" w:hAnsi="仿宋" w:eastAsia="仿宋" w:cs="仿宋"/>
          <w:sz w:val="30"/>
          <w:szCs w:val="30"/>
        </w:rPr>
        <w:t>具备陡坡缓行、电动助力，至少三档调速；软板结构可贴合非平面病床 / 检查床台面。</w:t>
      </w:r>
    </w:p>
    <w:p w14:paraId="500C4269">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5、</w:t>
      </w:r>
      <w:r>
        <w:rPr>
          <w:rFonts w:hint="eastAsia" w:ascii="仿宋" w:hAnsi="仿宋" w:eastAsia="仿宋" w:cs="仿宋"/>
          <w:sz w:val="30"/>
          <w:szCs w:val="30"/>
        </w:rPr>
        <w:t>蓄电池符合国家3C安全标准；满电状态续航可支持日均不少于15次完整转运作业；配备电量低预警提示。</w:t>
      </w:r>
    </w:p>
    <w:p w14:paraId="52ADFD41">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6、</w:t>
      </w:r>
      <w:r>
        <w:rPr>
          <w:rFonts w:hint="eastAsia" w:ascii="仿宋" w:hAnsi="仿宋" w:eastAsia="仿宋" w:cs="仿宋"/>
          <w:sz w:val="30"/>
          <w:szCs w:val="30"/>
        </w:rPr>
        <w:t>转运移位设备属于医疗器械，须提供有效的医疗器械注册证/备案凭证；CE/FDA 国际认证不作为强制要求，可作为评审加分项。</w:t>
      </w:r>
    </w:p>
    <w:p w14:paraId="3F8A4130">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7、</w:t>
      </w:r>
      <w:r>
        <w:rPr>
          <w:rFonts w:hint="eastAsia" w:ascii="仿宋" w:hAnsi="仿宋" w:eastAsia="仿宋" w:cs="仿宋"/>
          <w:sz w:val="30"/>
          <w:szCs w:val="30"/>
        </w:rPr>
        <w:t>配套专用减压床垫；设备自带消毒记录模块，每次使用后可记录消毒时间、操作人员；配套全部管线、充电器、工具配件。</w:t>
      </w:r>
    </w:p>
    <w:p w14:paraId="0B69A45A">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8、</w:t>
      </w:r>
      <w:r>
        <w:rPr>
          <w:rFonts w:hint="eastAsia" w:ascii="仿宋" w:hAnsi="仿宋" w:eastAsia="仿宋" w:cs="仿宋"/>
          <w:sz w:val="30"/>
          <w:szCs w:val="30"/>
        </w:rPr>
        <w:t>设备投入：合同生效后</w:t>
      </w:r>
      <w:r>
        <w:rPr>
          <w:rStyle w:val="19"/>
          <w:rFonts w:hint="eastAsia" w:ascii="仿宋" w:hAnsi="仿宋" w:eastAsia="仿宋" w:cs="仿宋"/>
          <w:sz w:val="30"/>
          <w:szCs w:val="30"/>
        </w:rPr>
        <w:t>15 日历天内完成进场、安装调试、人员培训，达到可正式运营状态</w:t>
      </w:r>
      <w:r>
        <w:rPr>
          <w:rFonts w:hint="eastAsia" w:ascii="仿宋" w:hAnsi="仿宋" w:eastAsia="仿宋" w:cs="仿宋"/>
          <w:sz w:val="30"/>
          <w:szCs w:val="30"/>
        </w:rPr>
        <w:t>。</w:t>
      </w:r>
    </w:p>
    <w:p w14:paraId="2331C5CD">
      <w:pPr>
        <w:keepNext w:val="0"/>
        <w:keepLines w:val="0"/>
        <w:widowControl/>
        <w:numPr>
          <w:ilvl w:val="0"/>
          <w:numId w:val="0"/>
        </w:numPr>
        <w:suppressLineNumbers w:val="0"/>
        <w:spacing w:before="100" w:beforeAutospacing="1" w:after="100" w:afterAutospacing="1"/>
        <w:rPr>
          <w:rFonts w:hint="eastAsia" w:ascii="仿宋" w:hAnsi="仿宋" w:eastAsia="仿宋" w:cs="仿宋"/>
          <w:b/>
          <w:bCs/>
          <w:sz w:val="30"/>
          <w:szCs w:val="30"/>
        </w:rPr>
      </w:pPr>
      <w:r>
        <w:rPr>
          <w:rFonts w:hint="eastAsia" w:ascii="仿宋" w:hAnsi="仿宋" w:eastAsia="仿宋" w:cs="仿宋"/>
          <w:b/>
          <w:bCs/>
          <w:sz w:val="30"/>
          <w:szCs w:val="30"/>
        </w:rPr>
        <w:t>（二）智能管理系统（含小程序+后台管理端，供应商提供整套软件，包含3年使用、运维、升级）</w:t>
      </w:r>
    </w:p>
    <w:p w14:paraId="38F85887">
      <w:pPr>
        <w:keepNext w:val="0"/>
        <w:keepLines w:val="0"/>
        <w:widowControl/>
        <w:numPr>
          <w:ilvl w:val="0"/>
          <w:numId w:val="0"/>
        </w:numPr>
        <w:suppressLineNumbers w:val="0"/>
        <w:spacing w:before="100" w:beforeAutospacing="1" w:after="100" w:afterAutospacing="1"/>
        <w:rPr>
          <w:rFonts w:hint="eastAsia" w:ascii="仿宋" w:hAnsi="仿宋" w:eastAsia="仿宋" w:cs="仿宋"/>
          <w:sz w:val="30"/>
          <w:szCs w:val="30"/>
        </w:rPr>
      </w:pPr>
      <w:r>
        <w:rPr>
          <w:rFonts w:hint="eastAsia" w:ascii="仿宋" w:hAnsi="仿宋" w:eastAsia="仿宋" w:cs="仿宋"/>
          <w:sz w:val="30"/>
          <w:szCs w:val="30"/>
          <w:lang w:val="en-US" w:eastAsia="zh-CN"/>
        </w:rPr>
        <w:t>1、</w:t>
      </w:r>
      <w:r>
        <w:rPr>
          <w:rFonts w:hint="eastAsia" w:ascii="仿宋" w:hAnsi="仿宋" w:eastAsia="仿宋" w:cs="仿宋"/>
          <w:sz w:val="30"/>
          <w:szCs w:val="30"/>
        </w:rPr>
        <w:t>微信/支付宝小程序前端：支持患者或家属扫码下单，可选择单程/双程转运服务；在线支付；系统自动生成电子保单；服务结束后患者线上评价。</w:t>
      </w:r>
    </w:p>
    <w:p w14:paraId="1CE8B457">
      <w:pPr>
        <w:keepNext w:val="0"/>
        <w:keepLines w:val="0"/>
        <w:widowControl/>
        <w:numPr>
          <w:ilvl w:val="0"/>
          <w:numId w:val="0"/>
        </w:numPr>
        <w:suppressLineNumbers w:val="0"/>
        <w:spacing w:before="100" w:beforeAutospacing="1" w:after="100" w:afterAutospacing="1"/>
        <w:rPr>
          <w:rFonts w:hint="eastAsia" w:ascii="仿宋" w:hAnsi="仿宋" w:eastAsia="仿宋" w:cs="仿宋"/>
          <w:sz w:val="30"/>
          <w:szCs w:val="30"/>
        </w:rPr>
      </w:pPr>
      <w:r>
        <w:rPr>
          <w:rFonts w:hint="eastAsia" w:ascii="仿宋" w:hAnsi="仿宋" w:eastAsia="仿宋" w:cs="仿宋"/>
          <w:sz w:val="30"/>
          <w:szCs w:val="30"/>
          <w:lang w:val="en-US" w:eastAsia="zh-CN"/>
        </w:rPr>
        <w:t>2、</w:t>
      </w:r>
      <w:r>
        <w:rPr>
          <w:rFonts w:hint="eastAsia" w:ascii="仿宋" w:hAnsi="仿宋" w:eastAsia="仿宋" w:cs="仿宋"/>
          <w:sz w:val="30"/>
          <w:szCs w:val="30"/>
        </w:rPr>
        <w:t>后台管理端功能：设备运行状态实时监控；服务订单全流程数据统计；故障、超时异常预警；支持电子知情同意书线上签署；可向医院开放只读权限，医院可查阅订单、服务记录，不可修改业务数据。</w:t>
      </w:r>
    </w:p>
    <w:p w14:paraId="15631568">
      <w:pPr>
        <w:keepNext w:val="0"/>
        <w:keepLines w:val="0"/>
        <w:widowControl/>
        <w:numPr>
          <w:ilvl w:val="0"/>
          <w:numId w:val="0"/>
        </w:numPr>
        <w:suppressLineNumbers w:val="0"/>
        <w:spacing w:before="100" w:beforeAutospacing="1" w:after="100" w:afterAutospacing="1"/>
        <w:rPr>
          <w:rFonts w:hint="eastAsia" w:ascii="仿宋" w:hAnsi="仿宋" w:eastAsia="仿宋" w:cs="仿宋"/>
          <w:sz w:val="30"/>
          <w:szCs w:val="30"/>
        </w:rPr>
      </w:pPr>
      <w:r>
        <w:rPr>
          <w:rFonts w:hint="eastAsia" w:ascii="仿宋" w:hAnsi="仿宋" w:eastAsia="仿宋" w:cs="仿宋"/>
          <w:sz w:val="30"/>
          <w:szCs w:val="30"/>
          <w:lang w:val="en-US" w:eastAsia="zh-CN"/>
        </w:rPr>
        <w:t>3、</w:t>
      </w:r>
      <w:r>
        <w:rPr>
          <w:rFonts w:hint="eastAsia" w:ascii="仿宋" w:hAnsi="仿宋" w:eastAsia="仿宋" w:cs="仿宋"/>
          <w:sz w:val="30"/>
          <w:szCs w:val="30"/>
        </w:rPr>
        <w:t>数据安全：系统建设、存储、处理符合《个人信息保护法》《医疗卫生机构网络安全管理办法》；患者个人信息加密存储；所有订单、知情同意书、保险记录</w:t>
      </w:r>
      <w:r>
        <w:rPr>
          <w:rStyle w:val="19"/>
          <w:rFonts w:hint="eastAsia" w:ascii="仿宋" w:hAnsi="仿宋" w:eastAsia="仿宋" w:cs="仿宋"/>
          <w:sz w:val="30"/>
          <w:szCs w:val="30"/>
        </w:rPr>
        <w:t>数据留存不少于3年，可导出备查</w:t>
      </w:r>
      <w:r>
        <w:rPr>
          <w:rFonts w:hint="eastAsia" w:ascii="仿宋" w:hAnsi="仿宋" w:eastAsia="仿宋" w:cs="仿宋"/>
          <w:sz w:val="30"/>
          <w:szCs w:val="30"/>
        </w:rPr>
        <w:t>。</w:t>
      </w:r>
    </w:p>
    <w:p w14:paraId="11D67D4B">
      <w:pPr>
        <w:keepNext w:val="0"/>
        <w:keepLines w:val="0"/>
        <w:widowControl/>
        <w:numPr>
          <w:ilvl w:val="0"/>
          <w:numId w:val="0"/>
        </w:numPr>
        <w:suppressLineNumbers w:val="0"/>
        <w:spacing w:before="100" w:beforeAutospacing="1" w:after="100" w:afterAutospacing="1"/>
        <w:rPr>
          <w:rFonts w:hint="eastAsia" w:ascii="仿宋" w:hAnsi="仿宋" w:eastAsia="仿宋" w:cs="仿宋"/>
          <w:sz w:val="30"/>
          <w:szCs w:val="30"/>
        </w:rPr>
      </w:pPr>
      <w:r>
        <w:rPr>
          <w:rFonts w:hint="eastAsia" w:ascii="仿宋" w:hAnsi="仿宋" w:eastAsia="仿宋" w:cs="仿宋"/>
          <w:sz w:val="30"/>
          <w:szCs w:val="30"/>
          <w:lang w:val="en-US" w:eastAsia="zh-CN"/>
        </w:rPr>
        <w:t>4、</w:t>
      </w:r>
      <w:r>
        <w:rPr>
          <w:rFonts w:hint="eastAsia" w:ascii="仿宋" w:hAnsi="仿宋" w:eastAsia="仿宋" w:cs="仿宋"/>
          <w:sz w:val="30"/>
          <w:szCs w:val="30"/>
        </w:rPr>
        <w:t>知识产权：本项目使用的软件系统不得侵权；若使用第三方组件，须具备合法授权；服务期内免费版本迭代、漏洞修复。</w:t>
      </w:r>
    </w:p>
    <w:p w14:paraId="37FA0998">
      <w:pPr>
        <w:pStyle w:val="4"/>
        <w:keepNext w:val="0"/>
        <w:keepLines w:val="0"/>
        <w:widowControl/>
        <w:suppressLineNumbers w:val="0"/>
        <w:rPr>
          <w:rFonts w:hint="eastAsia" w:ascii="仿宋" w:hAnsi="仿宋" w:eastAsia="仿宋" w:cs="仿宋"/>
          <w:b/>
          <w:bCs/>
          <w:color w:val="auto"/>
          <w:sz w:val="30"/>
          <w:szCs w:val="30"/>
        </w:rPr>
      </w:pPr>
      <w:r>
        <w:rPr>
          <w:rFonts w:hint="eastAsia" w:ascii="仿宋" w:hAnsi="仿宋" w:eastAsia="仿宋" w:cs="仿宋"/>
          <w:b/>
          <w:bCs/>
          <w:color w:val="auto"/>
          <w:sz w:val="30"/>
          <w:szCs w:val="30"/>
        </w:rPr>
        <w:t>★</w:t>
      </w:r>
      <w:r>
        <w:rPr>
          <w:rFonts w:hint="eastAsia" w:ascii="仿宋" w:hAnsi="仿宋" w:eastAsia="仿宋" w:cs="仿宋"/>
          <w:b/>
          <w:bCs/>
          <w:color w:val="auto"/>
          <w:sz w:val="30"/>
          <w:szCs w:val="30"/>
          <w:lang w:val="en-US" w:eastAsia="zh-CN"/>
        </w:rPr>
        <w:t>三</w:t>
      </w:r>
      <w:r>
        <w:rPr>
          <w:rFonts w:hint="eastAsia" w:ascii="仿宋" w:hAnsi="仿宋" w:eastAsia="仿宋" w:cs="仿宋"/>
          <w:b/>
          <w:bCs/>
          <w:color w:val="auto"/>
          <w:sz w:val="30"/>
          <w:szCs w:val="30"/>
        </w:rPr>
        <w:t>、安全保障要求</w:t>
      </w:r>
    </w:p>
    <w:p w14:paraId="1C312ABD">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1、</w:t>
      </w:r>
      <w:r>
        <w:rPr>
          <w:rFonts w:hint="eastAsia" w:ascii="仿宋" w:hAnsi="仿宋" w:eastAsia="仿宋" w:cs="仿宋"/>
          <w:sz w:val="30"/>
          <w:szCs w:val="30"/>
        </w:rPr>
        <w:t>每一笔转运服务订单自动对应投保患者意外伤害险，单人单次保额不低于30万元人民币；保险保单真实有效，可核验；保险覆盖转运全过程。</w:t>
      </w:r>
    </w:p>
    <w:p w14:paraId="4944C900">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2、</w:t>
      </w:r>
      <w:r>
        <w:rPr>
          <w:rFonts w:hint="eastAsia" w:ascii="仿宋" w:hAnsi="仿宋" w:eastAsia="仿宋" w:cs="仿宋"/>
          <w:sz w:val="30"/>
          <w:szCs w:val="30"/>
        </w:rPr>
        <w:t>转运服务执行前，必须完成电子版《服务知情同意书》签署，未签署不得启动转运服务；知情同意书内容须经医院审核确认。</w:t>
      </w:r>
    </w:p>
    <w:p w14:paraId="368C004B">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3、</w:t>
      </w:r>
      <w:r>
        <w:rPr>
          <w:rFonts w:hint="eastAsia" w:ascii="仿宋" w:hAnsi="仿宋" w:eastAsia="仿宋" w:cs="仿宋"/>
          <w:sz w:val="30"/>
          <w:szCs w:val="30"/>
        </w:rPr>
        <w:t>责任界定：因供应商设备故障、操作人员操作不当、耗材不合格造成患者人身、财产损害，全部赔偿责任由供应商承担。</w:t>
      </w:r>
    </w:p>
    <w:p w14:paraId="643CFAE6">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4、</w:t>
      </w:r>
      <w:r>
        <w:rPr>
          <w:rFonts w:hint="eastAsia" w:ascii="仿宋" w:hAnsi="仿宋" w:eastAsia="仿宋" w:cs="仿宋"/>
          <w:sz w:val="30"/>
          <w:szCs w:val="30"/>
        </w:rPr>
        <w:t>供应商须提交完整应急预案，包含：设备突发故障、患者转运途中突发身体状况、人员缺位、系统宕机、停电等场景；明确处置流程、备用设备、替补人员。</w:t>
      </w:r>
    </w:p>
    <w:p w14:paraId="1A2772FF">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5、</w:t>
      </w:r>
      <w:r>
        <w:rPr>
          <w:rFonts w:hint="eastAsia" w:ascii="仿宋" w:hAnsi="仿宋" w:eastAsia="仿宋" w:cs="仿宋"/>
          <w:sz w:val="30"/>
          <w:szCs w:val="30"/>
        </w:rPr>
        <w:t>转运作业禁忌：系统及人员应当识别危重、急救类患者，</w:t>
      </w:r>
      <w:r>
        <w:rPr>
          <w:rStyle w:val="19"/>
          <w:rFonts w:hint="eastAsia" w:ascii="仿宋" w:hAnsi="仿宋" w:eastAsia="仿宋" w:cs="仿宋"/>
          <w:sz w:val="30"/>
          <w:szCs w:val="30"/>
        </w:rPr>
        <w:t>本项目不承接急救病人转运，急救患者应当直接移交医院急诊科、120 处置</w:t>
      </w:r>
      <w:r>
        <w:rPr>
          <w:rFonts w:hint="eastAsia" w:ascii="仿宋" w:hAnsi="仿宋" w:eastAsia="仿宋" w:cs="仿宋"/>
          <w:sz w:val="30"/>
          <w:szCs w:val="30"/>
        </w:rPr>
        <w:t>。</w:t>
      </w:r>
    </w:p>
    <w:p w14:paraId="57ABECF3">
      <w:pPr>
        <w:pStyle w:val="4"/>
        <w:keepNext w:val="0"/>
        <w:keepLines w:val="0"/>
        <w:widowControl/>
        <w:suppressLineNumbers w:val="0"/>
        <w:rPr>
          <w:rFonts w:hint="eastAsia" w:ascii="仿宋" w:hAnsi="仿宋" w:eastAsia="仿宋" w:cs="仿宋"/>
          <w:b/>
          <w:bCs/>
          <w:color w:val="auto"/>
          <w:sz w:val="30"/>
          <w:szCs w:val="30"/>
        </w:rPr>
      </w:pPr>
      <w:r>
        <w:rPr>
          <w:rFonts w:hint="eastAsia" w:ascii="仿宋" w:hAnsi="仿宋" w:eastAsia="仿宋" w:cs="仿宋"/>
          <w:b/>
          <w:bCs/>
          <w:color w:val="auto"/>
          <w:sz w:val="30"/>
          <w:szCs w:val="30"/>
          <w:lang w:val="en-US" w:eastAsia="zh-CN"/>
        </w:rPr>
        <w:t>四</w:t>
      </w:r>
      <w:r>
        <w:rPr>
          <w:rFonts w:hint="eastAsia" w:ascii="仿宋" w:hAnsi="仿宋" w:eastAsia="仿宋" w:cs="仿宋"/>
          <w:b/>
          <w:bCs/>
          <w:color w:val="auto"/>
          <w:sz w:val="30"/>
          <w:szCs w:val="30"/>
        </w:rPr>
        <w:t>、商务要求</w:t>
      </w:r>
    </w:p>
    <w:p w14:paraId="5DE72359">
      <w:pPr>
        <w:pStyle w:val="5"/>
        <w:keepNext w:val="0"/>
        <w:keepLines w:val="0"/>
        <w:widowControl/>
        <w:suppressLineNumbers w:val="0"/>
        <w:rPr>
          <w:rFonts w:hint="eastAsia" w:ascii="仿宋" w:hAnsi="仿宋" w:eastAsia="仿宋" w:cs="仿宋"/>
          <w:sz w:val="30"/>
          <w:szCs w:val="30"/>
        </w:rPr>
      </w:pPr>
      <w:r>
        <w:rPr>
          <w:rFonts w:hint="eastAsia" w:ascii="仿宋" w:hAnsi="仿宋" w:eastAsia="仿宋" w:cs="仿宋"/>
          <w:sz w:val="30"/>
          <w:szCs w:val="30"/>
        </w:rPr>
        <w:t>1、人员配置要求</w:t>
      </w:r>
    </w:p>
    <w:p w14:paraId="5BA654DF">
      <w:pPr>
        <w:pStyle w:val="13"/>
        <w:keepNext w:val="0"/>
        <w:keepLines w:val="0"/>
        <w:pageBreakBefore w:val="0"/>
        <w:widowControl/>
        <w:suppressLineNumbers w:val="0"/>
        <w:kinsoku/>
        <w:wordWrap/>
        <w:overflowPunct/>
        <w:topLinePunct w:val="0"/>
        <w:autoSpaceDE/>
        <w:autoSpaceDN/>
        <w:bidi w:val="0"/>
        <w:adjustRightInd/>
        <w:snapToGrid/>
        <w:spacing w:line="480" w:lineRule="auto"/>
        <w:textAlignment w:val="auto"/>
        <w:rPr>
          <w:rFonts w:hint="eastAsia" w:ascii="仿宋" w:hAnsi="仿宋" w:eastAsia="仿宋" w:cs="仿宋"/>
          <w:sz w:val="30"/>
          <w:szCs w:val="30"/>
        </w:rPr>
      </w:pPr>
      <w:r>
        <w:rPr>
          <w:rFonts w:hint="eastAsia" w:ascii="仿宋" w:hAnsi="仿宋" w:eastAsia="仿宋" w:cs="仿宋"/>
          <w:sz w:val="30"/>
          <w:szCs w:val="30"/>
        </w:rPr>
        <w:t>A、★配置专职项目经理不少于1名；具备医疗服务项目管理相关工作经验；全面对接医院，负责人员管理、投诉处理、日常协调。</w:t>
      </w:r>
    </w:p>
    <w:p w14:paraId="7178CD2B">
      <w:pPr>
        <w:pStyle w:val="13"/>
        <w:keepNext w:val="0"/>
        <w:keepLines w:val="0"/>
        <w:pageBreakBefore w:val="0"/>
        <w:widowControl/>
        <w:suppressLineNumbers w:val="0"/>
        <w:kinsoku/>
        <w:wordWrap/>
        <w:overflowPunct/>
        <w:topLinePunct w:val="0"/>
        <w:autoSpaceDE/>
        <w:autoSpaceDN/>
        <w:bidi w:val="0"/>
        <w:adjustRightInd/>
        <w:snapToGrid/>
        <w:spacing w:line="480" w:lineRule="auto"/>
        <w:textAlignment w:val="auto"/>
        <w:rPr>
          <w:rFonts w:hint="eastAsia" w:ascii="仿宋" w:hAnsi="仿宋" w:eastAsia="仿宋" w:cs="仿宋"/>
          <w:sz w:val="30"/>
          <w:szCs w:val="30"/>
        </w:rPr>
      </w:pPr>
      <w:r>
        <w:rPr>
          <w:rFonts w:hint="eastAsia" w:ascii="仿宋" w:hAnsi="仿宋" w:eastAsia="仿宋" w:cs="仿宋"/>
          <w:sz w:val="30"/>
          <w:szCs w:val="30"/>
        </w:rPr>
        <w:t>B、★配备现场持证操作人员≥2名；操作人员须提供对应的岗位培训合格证书、有效期内健康证明；人员不足时必须及时增补，不得出现服务断档。</w:t>
      </w:r>
    </w:p>
    <w:p w14:paraId="1FE3065A">
      <w:pPr>
        <w:pStyle w:val="13"/>
        <w:keepNext w:val="0"/>
        <w:keepLines w:val="0"/>
        <w:pageBreakBefore w:val="0"/>
        <w:widowControl/>
        <w:suppressLineNumbers w:val="0"/>
        <w:kinsoku/>
        <w:wordWrap/>
        <w:overflowPunct/>
        <w:topLinePunct w:val="0"/>
        <w:autoSpaceDE/>
        <w:autoSpaceDN/>
        <w:bidi w:val="0"/>
        <w:adjustRightInd/>
        <w:snapToGrid/>
        <w:spacing w:line="480" w:lineRule="auto"/>
        <w:textAlignment w:val="auto"/>
        <w:rPr>
          <w:rFonts w:hint="eastAsia" w:ascii="仿宋" w:hAnsi="仿宋" w:eastAsia="仿宋" w:cs="仿宋"/>
          <w:sz w:val="30"/>
          <w:szCs w:val="30"/>
        </w:rPr>
      </w:pPr>
      <w:r>
        <w:rPr>
          <w:rFonts w:hint="eastAsia" w:ascii="仿宋" w:hAnsi="仿宋" w:eastAsia="仿宋" w:cs="仿宋"/>
          <w:sz w:val="30"/>
          <w:szCs w:val="30"/>
        </w:rPr>
        <w:t>C、所有作业人员统一工装、佩戴工牌上岗；必须参加医院组织的岗前院感、医患沟通培训，接受医院定期考核；考核不合格人员，供应商须限期更换。</w:t>
      </w:r>
    </w:p>
    <w:p w14:paraId="40376ED4">
      <w:pPr>
        <w:pStyle w:val="13"/>
        <w:keepNext w:val="0"/>
        <w:keepLines w:val="0"/>
        <w:pageBreakBefore w:val="0"/>
        <w:widowControl/>
        <w:suppressLineNumbers w:val="0"/>
        <w:kinsoku/>
        <w:wordWrap/>
        <w:overflowPunct/>
        <w:topLinePunct w:val="0"/>
        <w:autoSpaceDE/>
        <w:autoSpaceDN/>
        <w:bidi w:val="0"/>
        <w:adjustRightInd/>
        <w:snapToGrid/>
        <w:spacing w:line="480" w:lineRule="auto"/>
        <w:textAlignment w:val="auto"/>
        <w:rPr>
          <w:rFonts w:hint="eastAsia" w:ascii="仿宋" w:hAnsi="仿宋" w:eastAsia="仿宋" w:cs="仿宋"/>
          <w:sz w:val="30"/>
          <w:szCs w:val="30"/>
        </w:rPr>
      </w:pPr>
      <w:r>
        <w:rPr>
          <w:rFonts w:hint="eastAsia" w:ascii="仿宋" w:hAnsi="仿宋" w:eastAsia="仿宋" w:cs="仿宋"/>
          <w:sz w:val="30"/>
          <w:szCs w:val="30"/>
        </w:rPr>
        <w:t>D、★7×24小时服务响应机制：设备故障30分钟内响应，2小时内完成修复；无法修复的，必须启用备用设备保障业务不间断。</w:t>
      </w:r>
    </w:p>
    <w:p w14:paraId="27894DEF">
      <w:pPr>
        <w:pStyle w:val="13"/>
        <w:keepNext w:val="0"/>
        <w:keepLines w:val="0"/>
        <w:pageBreakBefore w:val="0"/>
        <w:widowControl/>
        <w:suppressLineNumbers w:val="0"/>
        <w:kinsoku/>
        <w:wordWrap/>
        <w:overflowPunct/>
        <w:topLinePunct w:val="0"/>
        <w:autoSpaceDE/>
        <w:autoSpaceDN/>
        <w:bidi w:val="0"/>
        <w:adjustRightInd/>
        <w:snapToGrid/>
        <w:spacing w:line="480" w:lineRule="auto"/>
        <w:textAlignment w:val="auto"/>
        <w:rPr>
          <w:rFonts w:hint="eastAsia" w:ascii="仿宋" w:hAnsi="仿宋" w:eastAsia="仿宋" w:cs="仿宋"/>
          <w:sz w:val="30"/>
          <w:szCs w:val="30"/>
        </w:rPr>
      </w:pPr>
      <w:r>
        <w:rPr>
          <w:rFonts w:hint="eastAsia" w:ascii="仿宋" w:hAnsi="仿宋" w:eastAsia="仿宋" w:cs="仿宋"/>
          <w:sz w:val="30"/>
          <w:szCs w:val="30"/>
        </w:rPr>
        <w:t>E、人员更换：主要管理人员、现场操作人员发生变更，须提前书面告知医院备案。</w:t>
      </w:r>
    </w:p>
    <w:p w14:paraId="7D46FA84">
      <w:pPr>
        <w:pStyle w:val="5"/>
        <w:keepNext w:val="0"/>
        <w:keepLines w:val="0"/>
        <w:widowControl/>
        <w:suppressLineNumbers w:val="0"/>
        <w:rPr>
          <w:rFonts w:hint="eastAsia" w:ascii="仿宋" w:hAnsi="仿宋" w:eastAsia="仿宋" w:cs="仿宋"/>
          <w:sz w:val="30"/>
          <w:szCs w:val="30"/>
        </w:rPr>
      </w:pPr>
      <w:r>
        <w:rPr>
          <w:rFonts w:hint="eastAsia" w:ascii="仿宋" w:hAnsi="仿宋" w:eastAsia="仿宋" w:cs="仿宋"/>
          <w:sz w:val="30"/>
          <w:szCs w:val="30"/>
        </w:rPr>
        <w:t>2、设备与耗材</w:t>
      </w:r>
    </w:p>
    <w:p w14:paraId="36000A36">
      <w:pPr>
        <w:keepNext w:val="0"/>
        <w:keepLines w:val="0"/>
        <w:widowControl/>
        <w:numPr>
          <w:ilvl w:val="0"/>
          <w:numId w:val="0"/>
        </w:numPr>
        <w:suppressLineNumbers w:val="0"/>
        <w:spacing w:before="100" w:beforeAutospacing="1" w:after="100" w:afterAutospacing="1"/>
        <w:rPr>
          <w:rFonts w:hint="eastAsia" w:ascii="仿宋" w:hAnsi="仿宋" w:eastAsia="仿宋" w:cs="仿宋"/>
          <w:sz w:val="30"/>
          <w:szCs w:val="30"/>
        </w:rPr>
      </w:pPr>
      <w:r>
        <w:rPr>
          <w:rFonts w:hint="eastAsia" w:ascii="仿宋" w:hAnsi="仿宋" w:eastAsia="仿宋" w:cs="仿宋"/>
          <w:sz w:val="30"/>
          <w:szCs w:val="30"/>
        </w:rPr>
        <w:t>合同期内，设备维修、保养、年检、软件升级、保险、无菌中单、消毒用品等全部耗材费用，均由供应商全额承担，医院不支付任何费用。设备定期维护保养，每季度提交设备维保记录给医院备查。</w:t>
      </w:r>
    </w:p>
    <w:p w14:paraId="7777C550">
      <w:pPr>
        <w:pStyle w:val="5"/>
        <w:keepNext w:val="0"/>
        <w:keepLines w:val="0"/>
        <w:widowControl/>
        <w:suppressLineNumbers w:val="0"/>
        <w:rPr>
          <w:rFonts w:hint="eastAsia" w:ascii="仿宋" w:hAnsi="仿宋" w:eastAsia="仿宋" w:cs="仿宋"/>
          <w:sz w:val="30"/>
          <w:szCs w:val="30"/>
        </w:rPr>
      </w:pPr>
      <w:r>
        <w:rPr>
          <w:rFonts w:hint="eastAsia" w:ascii="仿宋" w:hAnsi="仿宋" w:eastAsia="仿宋" w:cs="仿宋"/>
          <w:sz w:val="30"/>
          <w:szCs w:val="30"/>
        </w:rPr>
        <w:t>3、服务模式</w:t>
      </w:r>
    </w:p>
    <w:p w14:paraId="18075DE3">
      <w:pPr>
        <w:keepNext w:val="0"/>
        <w:keepLines w:val="0"/>
        <w:widowControl/>
        <w:numPr>
          <w:ilvl w:val="0"/>
          <w:numId w:val="0"/>
        </w:numPr>
        <w:suppressLineNumbers w:val="0"/>
        <w:spacing w:before="100" w:beforeAutospacing="1" w:after="100" w:afterAutospacing="1"/>
        <w:rPr>
          <w:rFonts w:hint="eastAsia" w:ascii="仿宋" w:hAnsi="仿宋" w:eastAsia="仿宋" w:cs="仿宋"/>
          <w:sz w:val="30"/>
          <w:szCs w:val="30"/>
        </w:rPr>
      </w:pPr>
      <w:r>
        <w:rPr>
          <w:rFonts w:hint="eastAsia" w:ascii="仿宋" w:hAnsi="仿宋" w:eastAsia="仿宋" w:cs="仿宋"/>
          <w:sz w:val="30"/>
          <w:szCs w:val="30"/>
          <w:lang w:val="en-US" w:eastAsia="zh-CN"/>
        </w:rPr>
        <w:t>3.1、</w:t>
      </w:r>
      <w:r>
        <w:rPr>
          <w:rFonts w:hint="eastAsia" w:ascii="仿宋" w:hAnsi="仿宋" w:eastAsia="仿宋" w:cs="仿宋"/>
          <w:sz w:val="30"/>
          <w:szCs w:val="30"/>
        </w:rPr>
        <w:t>本项目为供应商自费投入设备、系统、人员；</w:t>
      </w:r>
      <w:r>
        <w:rPr>
          <w:rStyle w:val="19"/>
          <w:rFonts w:hint="eastAsia" w:ascii="仿宋" w:hAnsi="仿宋" w:eastAsia="仿宋" w:cs="仿宋"/>
          <w:sz w:val="30"/>
          <w:szCs w:val="30"/>
        </w:rPr>
        <w:t>患者自费购买转运服务，供应商直接向患者收取服务费；医院不参与资金流转，不向供应商支付任何服务采购资金</w:t>
      </w:r>
      <w:r>
        <w:rPr>
          <w:rFonts w:hint="eastAsia" w:ascii="仿宋" w:hAnsi="仿宋" w:eastAsia="仿宋" w:cs="仿宋"/>
          <w:sz w:val="30"/>
          <w:szCs w:val="30"/>
        </w:rPr>
        <w:t>。</w:t>
      </w:r>
    </w:p>
    <w:p w14:paraId="2535775D">
      <w:pPr>
        <w:keepNext w:val="0"/>
        <w:keepLines w:val="0"/>
        <w:widowControl/>
        <w:numPr>
          <w:ilvl w:val="0"/>
          <w:numId w:val="0"/>
        </w:numPr>
        <w:suppressLineNumbers w:val="0"/>
        <w:spacing w:before="100" w:beforeAutospacing="1" w:after="100" w:afterAutospacing="1"/>
        <w:rPr>
          <w:rFonts w:hint="eastAsia" w:ascii="仿宋" w:hAnsi="仿宋" w:eastAsia="仿宋" w:cs="仿宋"/>
          <w:sz w:val="30"/>
          <w:szCs w:val="30"/>
        </w:rPr>
      </w:pPr>
      <w:r>
        <w:rPr>
          <w:rFonts w:hint="eastAsia" w:ascii="仿宋" w:hAnsi="仿宋" w:eastAsia="仿宋" w:cs="仿宋"/>
          <w:sz w:val="30"/>
          <w:szCs w:val="30"/>
          <w:lang w:val="en-US" w:eastAsia="zh-CN"/>
        </w:rPr>
        <w:t>3.2、</w:t>
      </w:r>
      <w:r>
        <w:rPr>
          <w:rFonts w:hint="eastAsia" w:ascii="仿宋" w:hAnsi="仿宋" w:eastAsia="仿宋" w:cs="仿宋"/>
          <w:sz w:val="30"/>
          <w:szCs w:val="30"/>
        </w:rPr>
        <w:t>供应商收费标准须在医院指定公共区域进行长期公示；明码标价，不得乱加价、隐形收费。</w:t>
      </w:r>
    </w:p>
    <w:p w14:paraId="7F2650E5">
      <w:pPr>
        <w:keepNext w:val="0"/>
        <w:keepLines w:val="0"/>
        <w:widowControl/>
        <w:numPr>
          <w:ilvl w:val="0"/>
          <w:numId w:val="0"/>
        </w:numPr>
        <w:suppressLineNumbers w:val="0"/>
        <w:spacing w:before="100" w:beforeAutospacing="1" w:after="100" w:afterAutospacing="1"/>
        <w:rPr>
          <w:rFonts w:hint="eastAsia" w:ascii="仿宋" w:hAnsi="仿宋" w:eastAsia="仿宋" w:cs="仿宋"/>
          <w:sz w:val="30"/>
          <w:szCs w:val="30"/>
        </w:rPr>
      </w:pPr>
      <w:r>
        <w:rPr>
          <w:rFonts w:hint="eastAsia" w:ascii="仿宋" w:hAnsi="仿宋" w:eastAsia="仿宋" w:cs="仿宋"/>
          <w:sz w:val="30"/>
          <w:szCs w:val="30"/>
          <w:lang w:val="en-US" w:eastAsia="zh-CN"/>
        </w:rPr>
        <w:t>3.3、</w:t>
      </w:r>
      <w:r>
        <w:rPr>
          <w:rFonts w:hint="eastAsia" w:ascii="仿宋" w:hAnsi="仿宋" w:eastAsia="仿宋" w:cs="仿宋"/>
          <w:sz w:val="30"/>
          <w:szCs w:val="30"/>
        </w:rPr>
        <w:t>供应商向付费患者提供正规电子发票。</w:t>
      </w:r>
    </w:p>
    <w:p w14:paraId="08BD3D82">
      <w:pPr>
        <w:keepNext w:val="0"/>
        <w:keepLines w:val="0"/>
        <w:widowControl/>
        <w:numPr>
          <w:ilvl w:val="0"/>
          <w:numId w:val="0"/>
        </w:numPr>
        <w:suppressLineNumbers w:val="0"/>
        <w:spacing w:before="100" w:beforeAutospacing="1" w:after="100" w:afterAutospacing="1"/>
        <w:rPr>
          <w:rFonts w:hint="eastAsia" w:ascii="仿宋" w:hAnsi="仿宋" w:eastAsia="仿宋" w:cs="仿宋"/>
          <w:sz w:val="30"/>
          <w:szCs w:val="30"/>
        </w:rPr>
      </w:pPr>
      <w:r>
        <w:rPr>
          <w:rFonts w:hint="eastAsia" w:ascii="仿宋" w:hAnsi="仿宋" w:eastAsia="仿宋" w:cs="仿宋"/>
          <w:sz w:val="30"/>
          <w:szCs w:val="30"/>
          <w:lang w:val="en-US" w:eastAsia="zh-CN"/>
        </w:rPr>
        <w:t>3.4、</w:t>
      </w:r>
      <w:r>
        <w:rPr>
          <w:rFonts w:hint="eastAsia" w:ascii="仿宋" w:hAnsi="仿宋" w:eastAsia="仿宋" w:cs="仿宋"/>
          <w:sz w:val="30"/>
          <w:szCs w:val="30"/>
        </w:rPr>
        <w:t>医院拥有监管权，有权对服务质量、人员行为、收费公示进行监督检查。</w:t>
      </w:r>
    </w:p>
    <w:p w14:paraId="06660340">
      <w:pPr>
        <w:keepNext w:val="0"/>
        <w:keepLines w:val="0"/>
        <w:widowControl/>
        <w:numPr>
          <w:ilvl w:val="0"/>
          <w:numId w:val="0"/>
        </w:numPr>
        <w:suppressLineNumbers w:val="0"/>
        <w:spacing w:before="100" w:beforeAutospacing="1" w:after="100" w:afterAutospacing="1"/>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4、服务期限</w:t>
      </w:r>
    </w:p>
    <w:p w14:paraId="07A09554">
      <w:pPr>
        <w:keepNext w:val="0"/>
        <w:keepLines w:val="0"/>
        <w:widowControl/>
        <w:numPr>
          <w:ilvl w:val="0"/>
          <w:numId w:val="0"/>
        </w:numPr>
        <w:suppressLineNumbers w:val="0"/>
        <w:spacing w:before="100" w:beforeAutospacing="1" w:after="100" w:afterAutospacing="1"/>
        <w:rPr>
          <w:rFonts w:hint="eastAsia" w:ascii="仿宋" w:hAnsi="仿宋" w:eastAsia="仿宋" w:cs="仿宋"/>
          <w:b w:val="0"/>
          <w:bCs w:val="0"/>
          <w:color w:val="auto"/>
          <w:sz w:val="30"/>
          <w:szCs w:val="30"/>
          <w:highlight w:val="none"/>
          <w:vertAlign w:val="baseline"/>
          <w:lang w:eastAsia="zh-CN"/>
        </w:rPr>
      </w:pPr>
      <w:r>
        <w:rPr>
          <w:rFonts w:hint="eastAsia" w:ascii="仿宋" w:hAnsi="仿宋" w:eastAsia="仿宋" w:cs="仿宋"/>
          <w:b w:val="0"/>
          <w:bCs w:val="0"/>
          <w:color w:val="auto"/>
          <w:sz w:val="30"/>
          <w:szCs w:val="30"/>
          <w:highlight w:val="none"/>
          <w:vertAlign w:val="baseline"/>
          <w:lang w:eastAsia="zh-CN"/>
        </w:rPr>
        <w:t>服务期限3年，年度综合考核合格，双方协商一致可续签下一年度合同。</w:t>
      </w:r>
    </w:p>
    <w:p w14:paraId="2FD51E85">
      <w:pPr>
        <w:keepNext w:val="0"/>
        <w:keepLines w:val="0"/>
        <w:widowControl/>
        <w:numPr>
          <w:ilvl w:val="0"/>
          <w:numId w:val="3"/>
        </w:numPr>
        <w:suppressLineNumbers w:val="0"/>
        <w:spacing w:before="100" w:beforeAutospacing="1" w:after="100" w:afterAutospacing="1"/>
        <w:rPr>
          <w:rFonts w:hint="eastAsia" w:ascii="仿宋" w:hAnsi="仿宋" w:eastAsia="仿宋" w:cs="仿宋"/>
          <w:b/>
          <w:bCs/>
          <w:color w:val="auto"/>
          <w:sz w:val="30"/>
          <w:szCs w:val="30"/>
          <w:highlight w:val="none"/>
          <w:vertAlign w:val="baseline"/>
          <w:lang w:val="en-US" w:eastAsia="zh-CN"/>
        </w:rPr>
      </w:pPr>
      <w:r>
        <w:rPr>
          <w:rFonts w:hint="eastAsia" w:ascii="仿宋" w:hAnsi="仿宋" w:eastAsia="仿宋" w:cs="仿宋"/>
          <w:b/>
          <w:bCs/>
          <w:color w:val="auto"/>
          <w:sz w:val="30"/>
          <w:szCs w:val="30"/>
          <w:highlight w:val="none"/>
          <w:vertAlign w:val="baseline"/>
          <w:lang w:val="en-US" w:eastAsia="zh-CN"/>
        </w:rPr>
        <w:t>服务地点</w:t>
      </w:r>
    </w:p>
    <w:p w14:paraId="2B1915C2">
      <w:pPr>
        <w:keepNext w:val="0"/>
        <w:keepLines w:val="0"/>
        <w:widowControl/>
        <w:numPr>
          <w:ilvl w:val="0"/>
          <w:numId w:val="0"/>
        </w:numPr>
        <w:suppressLineNumbers w:val="0"/>
        <w:spacing w:before="100" w:beforeAutospacing="1" w:after="100" w:afterAutospacing="1"/>
        <w:rPr>
          <w:rFonts w:hint="eastAsia" w:ascii="仿宋" w:hAnsi="仿宋" w:eastAsia="仿宋" w:cs="仿宋"/>
          <w:b w:val="0"/>
          <w:bCs w:val="0"/>
          <w:color w:val="auto"/>
          <w:sz w:val="30"/>
          <w:szCs w:val="30"/>
          <w:highlight w:val="none"/>
          <w:vertAlign w:val="baseline"/>
          <w:lang w:val="en-US" w:eastAsia="zh-CN"/>
        </w:rPr>
      </w:pPr>
      <w:r>
        <w:rPr>
          <w:rFonts w:hint="eastAsia" w:ascii="仿宋" w:hAnsi="仿宋" w:eastAsia="仿宋" w:cs="仿宋"/>
          <w:b w:val="0"/>
          <w:bCs w:val="0"/>
          <w:color w:val="auto"/>
          <w:sz w:val="30"/>
          <w:szCs w:val="30"/>
          <w:highlight w:val="none"/>
          <w:vertAlign w:val="baseline"/>
          <w:lang w:val="en-US" w:eastAsia="zh-CN"/>
        </w:rPr>
        <w:t>采购人指定地点</w:t>
      </w:r>
    </w:p>
    <w:p w14:paraId="2BF8D566">
      <w:pPr>
        <w:keepNext w:val="0"/>
        <w:keepLines w:val="0"/>
        <w:widowControl/>
        <w:numPr>
          <w:ilvl w:val="0"/>
          <w:numId w:val="3"/>
        </w:numPr>
        <w:suppressLineNumbers w:val="0"/>
        <w:spacing w:before="100" w:beforeAutospacing="1" w:after="100" w:afterAutospacing="1"/>
        <w:ind w:left="0" w:leftChars="0" w:firstLine="0" w:firstLineChars="0"/>
        <w:rPr>
          <w:rFonts w:hint="default" w:ascii="仿宋" w:hAnsi="仿宋" w:eastAsia="仿宋" w:cs="仿宋"/>
          <w:b w:val="0"/>
          <w:bCs w:val="0"/>
          <w:color w:val="auto"/>
          <w:sz w:val="30"/>
          <w:szCs w:val="30"/>
          <w:highlight w:val="none"/>
          <w:vertAlign w:val="baseline"/>
          <w:lang w:val="en-US" w:eastAsia="zh-CN"/>
        </w:rPr>
      </w:pPr>
      <w:r>
        <w:rPr>
          <w:rFonts w:hint="eastAsia" w:ascii="仿宋" w:hAnsi="仿宋" w:eastAsia="仿宋" w:cs="仿宋"/>
          <w:b w:val="0"/>
          <w:bCs w:val="0"/>
          <w:color w:val="auto"/>
          <w:sz w:val="30"/>
          <w:szCs w:val="30"/>
          <w:highlight w:val="none"/>
          <w:vertAlign w:val="baseline"/>
          <w:lang w:val="en-US" w:eastAsia="zh-CN"/>
        </w:rPr>
        <w:t>其他</w:t>
      </w:r>
    </w:p>
    <w:p w14:paraId="4EDCD3FC">
      <w:pPr>
        <w:keepNext w:val="0"/>
        <w:keepLines w:val="0"/>
        <w:widowControl/>
        <w:numPr>
          <w:ilvl w:val="0"/>
          <w:numId w:val="0"/>
        </w:numPr>
        <w:suppressLineNumbers w:val="0"/>
        <w:spacing w:before="100" w:beforeAutospacing="1" w:after="100" w:afterAutospacing="1"/>
        <w:ind w:leftChars="0" w:firstLine="560" w:firstLineChars="200"/>
        <w:rPr>
          <w:rFonts w:hint="default" w:ascii="仿宋" w:hAnsi="仿宋" w:eastAsia="仿宋" w:cs="仿宋"/>
          <w:b w:val="0"/>
          <w:bCs w:val="0"/>
          <w:color w:val="auto"/>
          <w:sz w:val="30"/>
          <w:szCs w:val="30"/>
          <w:highlight w:val="none"/>
          <w:vertAlign w:val="baseline"/>
          <w:lang w:val="en-US" w:eastAsia="zh-CN"/>
        </w:rPr>
      </w:pPr>
      <w:r>
        <w:rPr>
          <w:rFonts w:hint="eastAsia" w:ascii="方正仿宋_GB18030" w:hAnsi="方正仿宋_GB18030" w:eastAsia="方正仿宋_GB18030" w:cs="方正仿宋_GB18030"/>
          <w:sz w:val="28"/>
          <w:szCs w:val="28"/>
          <w:highlight w:val="none"/>
          <w:lang w:val="en-US" w:eastAsia="zh-CN"/>
        </w:rPr>
        <w:t>正式参与投标时须在投标文件里提供</w:t>
      </w:r>
      <w:r>
        <w:rPr>
          <w:rFonts w:hint="eastAsia" w:ascii="方正仿宋_GB18030" w:hAnsi="方正仿宋_GB18030" w:eastAsia="方正仿宋_GB18030" w:cs="方正仿宋_GB18030"/>
          <w:sz w:val="28"/>
          <w:szCs w:val="28"/>
          <w:highlight w:val="none"/>
        </w:rPr>
        <w:t>完整详细服务实施方案：含设备进场部署图、完整服务全流程、人员培训计划、全套多场景应急预案。</w:t>
      </w:r>
    </w:p>
    <w:p w14:paraId="0DE9F2F6">
      <w:pPr>
        <w:pStyle w:val="4"/>
        <w:keepNext w:val="0"/>
        <w:keepLines w:val="0"/>
        <w:widowControl/>
        <w:numPr>
          <w:ilvl w:val="0"/>
          <w:numId w:val="4"/>
        </w:numPr>
        <w:suppressLineNumbers w:val="0"/>
        <w:rPr>
          <w:rFonts w:hint="eastAsia" w:ascii="仿宋" w:hAnsi="仿宋" w:eastAsia="仿宋" w:cs="仿宋"/>
          <w:b/>
          <w:bCs/>
          <w:color w:val="auto"/>
          <w:sz w:val="32"/>
          <w:szCs w:val="32"/>
        </w:rPr>
      </w:pPr>
      <w:r>
        <w:rPr>
          <w:rFonts w:hint="eastAsia" w:ascii="仿宋" w:hAnsi="仿宋" w:eastAsia="仿宋" w:cs="仿宋"/>
          <w:b/>
          <w:bCs/>
          <w:color w:val="auto"/>
          <w:sz w:val="32"/>
          <w:szCs w:val="32"/>
        </w:rPr>
        <w:t>考核、履约、违约与撤场</w:t>
      </w:r>
    </w:p>
    <w:p w14:paraId="71A832D7">
      <w:pPr>
        <w:pStyle w:val="4"/>
        <w:keepNext w:val="0"/>
        <w:keepLines w:val="0"/>
        <w:pageBreakBefore w:val="0"/>
        <w:widowControl/>
        <w:numPr>
          <w:ilvl w:val="0"/>
          <w:numId w:val="5"/>
        </w:numPr>
        <w:suppressLineNumbers w:val="0"/>
        <w:kinsoku/>
        <w:wordWrap/>
        <w:overflowPunct/>
        <w:topLinePunct w:val="0"/>
        <w:autoSpaceDE/>
        <w:autoSpaceDN/>
        <w:bidi w:val="0"/>
        <w:adjustRightInd/>
        <w:snapToGrid/>
        <w:spacing w:line="480" w:lineRule="auto"/>
        <w:textAlignment w:val="auto"/>
        <w:outlineLvl w:val="1"/>
        <w:rPr>
          <w:rFonts w:hint="eastAsia" w:ascii="仿宋" w:hAnsi="仿宋" w:eastAsia="仿宋" w:cs="仿宋"/>
          <w:b w:val="0"/>
          <w:bCs w:val="0"/>
          <w:color w:val="auto"/>
          <w:kern w:val="0"/>
          <w:sz w:val="30"/>
          <w:szCs w:val="30"/>
          <w:lang w:val="en-US" w:eastAsia="zh-CN" w:bidi="ar"/>
        </w:rPr>
      </w:pPr>
      <w:r>
        <w:rPr>
          <w:rFonts w:hint="eastAsia" w:ascii="仿宋" w:hAnsi="仿宋" w:eastAsia="仿宋" w:cs="仿宋"/>
          <w:b w:val="0"/>
          <w:bCs w:val="0"/>
          <w:color w:val="auto"/>
          <w:kern w:val="0"/>
          <w:sz w:val="30"/>
          <w:szCs w:val="30"/>
          <w:lang w:val="en-US" w:eastAsia="zh-CN" w:bidi="ar"/>
        </w:rPr>
        <w:t>月度质量考核：医院开展月度服务质量考核，考核维度包含：患者满意度、设备完好率、投诉处理时效、院感落实、人员到岗情况、收费公示执行；考核结果作为年度是否续约的重要依据。</w:t>
      </w:r>
    </w:p>
    <w:p w14:paraId="065FAA9D">
      <w:pPr>
        <w:pStyle w:val="4"/>
        <w:keepNext w:val="0"/>
        <w:keepLines w:val="0"/>
        <w:pageBreakBefore w:val="0"/>
        <w:widowControl/>
        <w:numPr>
          <w:ilvl w:val="0"/>
          <w:numId w:val="5"/>
        </w:numPr>
        <w:suppressLineNumbers w:val="0"/>
        <w:kinsoku/>
        <w:wordWrap/>
        <w:overflowPunct/>
        <w:topLinePunct w:val="0"/>
        <w:autoSpaceDE/>
        <w:autoSpaceDN/>
        <w:bidi w:val="0"/>
        <w:adjustRightInd/>
        <w:snapToGrid/>
        <w:spacing w:line="480" w:lineRule="auto"/>
        <w:jc w:val="left"/>
        <w:textAlignment w:val="auto"/>
        <w:outlineLvl w:val="1"/>
        <w:rPr>
          <w:rFonts w:hint="eastAsia" w:ascii="仿宋" w:hAnsi="仿宋" w:eastAsia="仿宋" w:cs="仿宋"/>
          <w:b w:val="0"/>
          <w:bCs w:val="0"/>
          <w:color w:val="auto"/>
          <w:kern w:val="0"/>
          <w:sz w:val="30"/>
          <w:szCs w:val="30"/>
          <w:lang w:val="en-US" w:eastAsia="zh-CN" w:bidi="ar"/>
        </w:rPr>
      </w:pPr>
      <w:r>
        <w:rPr>
          <w:rFonts w:hint="eastAsia" w:ascii="仿宋" w:hAnsi="仿宋" w:eastAsia="仿宋" w:cs="仿宋"/>
          <w:b w:val="0"/>
          <w:bCs w:val="0"/>
          <w:color w:val="auto"/>
          <w:kern w:val="0"/>
          <w:sz w:val="30"/>
          <w:szCs w:val="30"/>
          <w:lang w:val="en-US" w:eastAsia="zh-CN" w:bidi="ar"/>
        </w:rPr>
        <w:t>★廉洁要求：严禁供应商及其工作人员向医院医护、管理人员支付回扣、佣金、礼品礼金等任何形式利益输送；一经查实，医院有权直接解除合同，供应商承担全部违约责任。</w:t>
      </w:r>
    </w:p>
    <w:p w14:paraId="4092F765">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3、</w:t>
      </w:r>
      <w:r>
        <w:rPr>
          <w:rFonts w:hint="eastAsia" w:ascii="仿宋" w:hAnsi="仿宋" w:eastAsia="仿宋" w:cs="仿宋"/>
          <w:color w:val="auto"/>
          <w:sz w:val="30"/>
          <w:szCs w:val="30"/>
        </w:rPr>
        <w:t>投诉处理：患者投诉，供应商须24小时内响应处置，并将处置结果书面反馈医院。</w:t>
      </w:r>
    </w:p>
    <w:p w14:paraId="7EEBFFDC">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4、</w:t>
      </w:r>
      <w:r>
        <w:rPr>
          <w:rFonts w:hint="eastAsia" w:ascii="仿宋" w:hAnsi="仿宋" w:eastAsia="仿宋" w:cs="仿宋"/>
          <w:color w:val="auto"/>
          <w:sz w:val="30"/>
          <w:szCs w:val="30"/>
        </w:rPr>
        <w:t>★合同终止（无论到期或提前解除）后</w:t>
      </w:r>
      <w:r>
        <w:rPr>
          <w:rStyle w:val="19"/>
          <w:rFonts w:hint="eastAsia" w:ascii="仿宋" w:hAnsi="仿宋" w:eastAsia="仿宋" w:cs="仿宋"/>
          <w:color w:val="auto"/>
          <w:sz w:val="30"/>
          <w:szCs w:val="30"/>
        </w:rPr>
        <w:t>30日历天内</w:t>
      </w:r>
      <w:r>
        <w:rPr>
          <w:rFonts w:hint="eastAsia" w:ascii="仿宋" w:hAnsi="仿宋" w:eastAsia="仿宋" w:cs="仿宋"/>
          <w:color w:val="auto"/>
          <w:sz w:val="30"/>
          <w:szCs w:val="30"/>
        </w:rPr>
        <w:t>，供应商完成全部自有设备、软件账号清理、场地复原；提交完整书面交接报告；删除本地部署系统内非医院必需业务数据；不得留置设备、账号。逾期未撤场，医院有权收取场地占用费。</w:t>
      </w:r>
    </w:p>
    <w:p w14:paraId="2CBCD292">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5、</w:t>
      </w:r>
      <w:r>
        <w:rPr>
          <w:rFonts w:hint="eastAsia" w:ascii="仿宋" w:hAnsi="仿宋" w:eastAsia="仿宋" w:cs="仿宋"/>
          <w:color w:val="auto"/>
          <w:sz w:val="30"/>
          <w:szCs w:val="30"/>
        </w:rPr>
        <w:t xml:space="preserve">违约责任： </w:t>
      </w:r>
    </w:p>
    <w:p w14:paraId="62D62907">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5.1、</w:t>
      </w:r>
      <w:r>
        <w:rPr>
          <w:rFonts w:hint="eastAsia" w:ascii="仿宋" w:hAnsi="仿宋" w:eastAsia="仿宋" w:cs="仿宋"/>
          <w:color w:val="auto"/>
          <w:sz w:val="30"/>
          <w:szCs w:val="30"/>
        </w:rPr>
        <w:t>设备故障、人员缺位造成服务长期中断，医院有权扣减场地管理费，情节严重可解除合同。</w:t>
      </w:r>
    </w:p>
    <w:p w14:paraId="7F6F89A5">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5.2、</w:t>
      </w:r>
      <w:r>
        <w:rPr>
          <w:rFonts w:hint="eastAsia" w:ascii="仿宋" w:hAnsi="仿宋" w:eastAsia="仿宋" w:cs="仿宋"/>
          <w:color w:val="auto"/>
          <w:sz w:val="30"/>
          <w:szCs w:val="30"/>
        </w:rPr>
        <w:t>发生患者安全责任事故，由供应商承担全部赔偿；造成医院声誉损失，医院可追究相应责任。</w:t>
      </w:r>
    </w:p>
    <w:p w14:paraId="5C0553C3">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6、其他</w:t>
      </w:r>
    </w:p>
    <w:p w14:paraId="5E4892B5">
      <w:pPr>
        <w:keepNext w:val="0"/>
        <w:keepLines w:val="0"/>
        <w:widowControl/>
        <w:numPr>
          <w:ilvl w:val="0"/>
          <w:numId w:val="0"/>
        </w:numPr>
        <w:suppressLineNumbers w:val="0"/>
        <w:spacing w:before="100" w:beforeAutospacing="1" w:after="100" w:afterAutospacing="1"/>
        <w:rPr>
          <w:rFonts w:hint="eastAsia" w:ascii="仿宋" w:hAnsi="仿宋" w:eastAsia="仿宋" w:cs="仿宋"/>
          <w:sz w:val="30"/>
          <w:szCs w:val="30"/>
        </w:rPr>
      </w:pPr>
      <w:r>
        <w:rPr>
          <w:rFonts w:hint="eastAsia" w:ascii="仿宋" w:hAnsi="仿宋" w:eastAsia="仿宋" w:cs="仿宋"/>
          <w:sz w:val="30"/>
          <w:szCs w:val="30"/>
          <w:lang w:val="en-US" w:eastAsia="zh-CN"/>
        </w:rPr>
        <w:t>6.1、</w:t>
      </w:r>
      <w:r>
        <w:rPr>
          <w:rFonts w:hint="eastAsia" w:ascii="仿宋" w:hAnsi="仿宋" w:eastAsia="仿宋" w:cs="仿宋"/>
          <w:sz w:val="30"/>
          <w:szCs w:val="30"/>
        </w:rPr>
        <w:t>本项目医院不支付任何服务费，由供应商向自费患者收取转运服务费，并向医院缴纳场地水电管理费。</w:t>
      </w:r>
    </w:p>
    <w:p w14:paraId="662F6B82">
      <w:pPr>
        <w:keepNext w:val="0"/>
        <w:keepLines w:val="0"/>
        <w:widowControl/>
        <w:numPr>
          <w:ilvl w:val="0"/>
          <w:numId w:val="0"/>
        </w:numPr>
        <w:suppressLineNumbers w:val="0"/>
        <w:spacing w:before="100" w:beforeAutospacing="1" w:after="100" w:afterAutospacing="1"/>
        <w:rPr>
          <w:rFonts w:hint="eastAsia" w:ascii="仿宋" w:hAnsi="仿宋" w:eastAsia="仿宋" w:cs="仿宋"/>
          <w:b/>
          <w:bCs w:val="0"/>
          <w:color w:val="auto"/>
          <w:sz w:val="30"/>
          <w:szCs w:val="30"/>
          <w:highlight w:val="none"/>
          <w:lang w:val="en-US" w:eastAsia="zh-CN"/>
        </w:rPr>
      </w:pPr>
      <w:r>
        <w:rPr>
          <w:rFonts w:hint="eastAsia" w:ascii="仿宋" w:hAnsi="仿宋" w:eastAsia="仿宋" w:cs="仿宋"/>
          <w:sz w:val="30"/>
          <w:szCs w:val="30"/>
          <w:lang w:val="en-US" w:eastAsia="zh-CN"/>
        </w:rPr>
        <w:t>6.2、</w:t>
      </w:r>
      <w:r>
        <w:rPr>
          <w:rFonts w:hint="eastAsia" w:ascii="仿宋" w:hAnsi="仿宋" w:eastAsia="仿宋" w:cs="仿宋"/>
          <w:sz w:val="30"/>
          <w:szCs w:val="30"/>
        </w:rPr>
        <w:t>本项目仅做</w:t>
      </w:r>
      <w:r>
        <w:rPr>
          <w:rStyle w:val="19"/>
          <w:rFonts w:hint="eastAsia" w:ascii="仿宋" w:hAnsi="仿宋" w:eastAsia="仿宋" w:cs="仿宋"/>
          <w:sz w:val="30"/>
          <w:szCs w:val="30"/>
        </w:rPr>
        <w:t>院内科室之间非急救转运，不得开展院前急救、院外转运业务</w:t>
      </w:r>
      <w:r>
        <w:rPr>
          <w:rFonts w:hint="eastAsia" w:ascii="仿宋" w:hAnsi="仿宋" w:eastAsia="仿宋" w:cs="仿宋"/>
          <w:sz w:val="30"/>
          <w:szCs w:val="30"/>
        </w:rPr>
        <w:t>。</w:t>
      </w:r>
    </w:p>
    <w:bookmarkEnd w:id="0"/>
    <w:bookmarkEnd w:id="1"/>
    <w:p w14:paraId="7E251FF6">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b/>
          <w:bCs/>
          <w:color w:val="auto"/>
          <w:sz w:val="21"/>
          <w:szCs w:val="22"/>
          <w:highlight w:val="none"/>
        </w:rPr>
      </w:pPr>
      <w:r>
        <w:rPr>
          <w:rFonts w:hint="eastAsia" w:ascii="宋体" w:hAnsi="宋体" w:eastAsia="宋体" w:cs="宋体"/>
          <w:b/>
          <w:bCs/>
          <w:color w:val="auto"/>
          <w:sz w:val="24"/>
          <w:szCs w:val="24"/>
          <w:highlight w:val="none"/>
        </w:rPr>
        <w:t>注：</w:t>
      </w: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rPr>
        <w:t>以上带★号条款为实质性要求。</w:t>
      </w:r>
    </w:p>
    <w:p w14:paraId="4244C272">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本项目所涉及的所有国家标准、地方标准、行业标准等如有最新的标准以最新标准为准。</w:t>
      </w:r>
    </w:p>
    <w:p w14:paraId="67D2F96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highlight w:val="none"/>
          <w:lang w:val="en-US" w:eastAsia="zh-CN"/>
        </w:rPr>
      </w:pPr>
    </w:p>
    <w:p w14:paraId="71E30DC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highlight w:val="none"/>
          <w:lang w:val="en-US" w:eastAsia="zh-CN"/>
        </w:rPr>
      </w:pPr>
    </w:p>
    <w:p w14:paraId="0765B74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highlight w:val="none"/>
          <w:lang w:val="en-US" w:eastAsia="zh-CN"/>
        </w:rPr>
      </w:pPr>
    </w:p>
    <w:p w14:paraId="3A3E2F9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highlight w:val="none"/>
          <w:lang w:val="en-US" w:eastAsia="zh-CN"/>
        </w:rPr>
      </w:pPr>
    </w:p>
    <w:p w14:paraId="463685B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highlight w:val="none"/>
          <w:lang w:val="en-US" w:eastAsia="zh-CN"/>
        </w:rPr>
      </w:pPr>
    </w:p>
    <w:p w14:paraId="61836CE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highlight w:val="none"/>
          <w:lang w:val="en-US" w:eastAsia="zh-CN"/>
        </w:rPr>
      </w:pPr>
    </w:p>
    <w:p w14:paraId="7664751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highlight w:val="none"/>
          <w:lang w:val="en-US" w:eastAsia="zh-CN"/>
        </w:rPr>
      </w:pPr>
    </w:p>
    <w:p w14:paraId="5317B2C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highlight w:val="none"/>
          <w:lang w:val="en-US" w:eastAsia="zh-CN"/>
        </w:rPr>
      </w:pPr>
    </w:p>
    <w:p w14:paraId="4EDD697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highlight w:val="none"/>
          <w:lang w:val="en-US" w:eastAsia="zh-CN"/>
        </w:rPr>
      </w:pPr>
    </w:p>
    <w:p w14:paraId="7FC76FE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highlight w:val="none"/>
          <w:lang w:val="en-US" w:eastAsia="zh-CN"/>
        </w:rPr>
      </w:pPr>
    </w:p>
    <w:p w14:paraId="3EE9480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highlight w:val="none"/>
          <w:lang w:val="en-US" w:eastAsia="zh-CN"/>
        </w:rPr>
      </w:pPr>
    </w:p>
    <w:p w14:paraId="1BF80C22">
      <w:pPr>
        <w:rPr>
          <w:rFonts w:hint="eastAsia" w:ascii="Calibri" w:hAnsi="Calibri"/>
          <w:b/>
          <w:bCs/>
          <w:color w:val="auto"/>
          <w:sz w:val="32"/>
          <w:szCs w:val="32"/>
          <w:lang w:val="en-US" w:eastAsia="zh-CN"/>
        </w:rPr>
      </w:pPr>
      <w:r>
        <w:rPr>
          <w:rFonts w:hint="eastAsia" w:ascii="Calibri" w:hAnsi="Calibri"/>
          <w:b/>
          <w:bCs/>
          <w:color w:val="auto"/>
          <w:sz w:val="32"/>
          <w:szCs w:val="32"/>
        </w:rPr>
        <w:t>附件2：报价</w:t>
      </w:r>
      <w:r>
        <w:rPr>
          <w:rFonts w:hint="eastAsia" w:ascii="Calibri" w:hAnsi="Calibri"/>
          <w:b/>
          <w:bCs/>
          <w:color w:val="auto"/>
          <w:sz w:val="32"/>
          <w:szCs w:val="32"/>
          <w:lang w:val="en-US" w:eastAsia="zh-CN"/>
        </w:rPr>
        <w:t>格式</w:t>
      </w:r>
    </w:p>
    <w:p w14:paraId="38D09826">
      <w:pPr>
        <w:pStyle w:val="2"/>
        <w:ind w:left="0" w:leftChars="0" w:firstLine="0" w:firstLineChars="0"/>
        <w:rPr>
          <w:rFonts w:hint="eastAsia"/>
          <w:lang w:val="en-US" w:eastAsia="zh-CN"/>
        </w:rPr>
      </w:pPr>
    </w:p>
    <w:p w14:paraId="503F50DF">
      <w:pPr>
        <w:rPr>
          <w:rFonts w:hint="eastAsia"/>
          <w:lang w:val="en-US" w:eastAsia="zh-CN"/>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3"/>
        <w:gridCol w:w="2145"/>
        <w:gridCol w:w="930"/>
        <w:gridCol w:w="1425"/>
        <w:gridCol w:w="3495"/>
      </w:tblGrid>
      <w:tr w14:paraId="5970B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 w:type="dxa"/>
            <w:noWrap w:val="0"/>
            <w:vAlign w:val="top"/>
          </w:tcPr>
          <w:p w14:paraId="152C12BF">
            <w:pPr>
              <w:pStyle w:val="13"/>
              <w:keepNext w:val="0"/>
              <w:keepLines w:val="0"/>
              <w:widowControl/>
              <w:suppressLineNumbers w:val="0"/>
              <w:rPr>
                <w:rFonts w:hint="eastAsia" w:ascii="方正仿宋_GB18030" w:hAnsi="方正仿宋_GB18030" w:eastAsia="方正仿宋_GB18030" w:cs="方正仿宋_GB18030"/>
                <w:sz w:val="28"/>
                <w:szCs w:val="28"/>
                <w:vertAlign w:val="baseline"/>
                <w:lang w:val="en-US" w:eastAsia="zh-CN"/>
              </w:rPr>
            </w:pPr>
            <w:r>
              <w:rPr>
                <w:rFonts w:hint="eastAsia" w:ascii="方正仿宋_GB18030" w:hAnsi="方正仿宋_GB18030" w:eastAsia="方正仿宋_GB18030" w:cs="方正仿宋_GB18030"/>
                <w:sz w:val="28"/>
                <w:szCs w:val="28"/>
                <w:vertAlign w:val="baseline"/>
                <w:lang w:val="en-US" w:eastAsia="zh-CN"/>
              </w:rPr>
              <w:t>序号</w:t>
            </w:r>
          </w:p>
        </w:tc>
        <w:tc>
          <w:tcPr>
            <w:tcW w:w="2145" w:type="dxa"/>
            <w:noWrap w:val="0"/>
            <w:vAlign w:val="top"/>
          </w:tcPr>
          <w:p w14:paraId="7F0011DA">
            <w:pPr>
              <w:pStyle w:val="13"/>
              <w:keepNext w:val="0"/>
              <w:keepLines w:val="0"/>
              <w:widowControl/>
              <w:suppressLineNumbers w:val="0"/>
              <w:rPr>
                <w:rFonts w:hint="eastAsia" w:ascii="方正仿宋_GB18030" w:hAnsi="方正仿宋_GB18030" w:eastAsia="方正仿宋_GB18030" w:cs="方正仿宋_GB18030"/>
                <w:sz w:val="28"/>
                <w:szCs w:val="28"/>
                <w:vertAlign w:val="baseline"/>
                <w:lang w:val="en-US" w:eastAsia="zh-CN"/>
              </w:rPr>
            </w:pPr>
            <w:r>
              <w:rPr>
                <w:rFonts w:hint="eastAsia" w:ascii="方正仿宋_GB18030" w:hAnsi="方正仿宋_GB18030" w:eastAsia="方正仿宋_GB18030" w:cs="方正仿宋_GB18030"/>
                <w:sz w:val="28"/>
                <w:szCs w:val="28"/>
                <w:vertAlign w:val="baseline"/>
                <w:lang w:val="en-US" w:eastAsia="zh-CN"/>
              </w:rPr>
              <w:t>收费项目</w:t>
            </w:r>
          </w:p>
        </w:tc>
        <w:tc>
          <w:tcPr>
            <w:tcW w:w="930" w:type="dxa"/>
            <w:noWrap w:val="0"/>
            <w:vAlign w:val="top"/>
          </w:tcPr>
          <w:p w14:paraId="05C8E08E">
            <w:pPr>
              <w:pStyle w:val="13"/>
              <w:keepNext w:val="0"/>
              <w:keepLines w:val="0"/>
              <w:widowControl/>
              <w:suppressLineNumbers w:val="0"/>
              <w:rPr>
                <w:rFonts w:hint="eastAsia" w:ascii="方正仿宋_GB18030" w:hAnsi="方正仿宋_GB18030" w:eastAsia="方正仿宋_GB18030" w:cs="方正仿宋_GB18030"/>
                <w:sz w:val="28"/>
                <w:szCs w:val="28"/>
                <w:vertAlign w:val="baseline"/>
                <w:lang w:val="en-US" w:eastAsia="zh-CN"/>
              </w:rPr>
            </w:pPr>
            <w:r>
              <w:rPr>
                <w:rFonts w:hint="eastAsia" w:ascii="方正仿宋_GB18030" w:hAnsi="方正仿宋_GB18030" w:eastAsia="方正仿宋_GB18030" w:cs="方正仿宋_GB18030"/>
                <w:sz w:val="28"/>
                <w:szCs w:val="28"/>
                <w:vertAlign w:val="baseline"/>
                <w:lang w:val="en-US" w:eastAsia="zh-CN"/>
              </w:rPr>
              <w:t>单位</w:t>
            </w:r>
          </w:p>
        </w:tc>
        <w:tc>
          <w:tcPr>
            <w:tcW w:w="1425" w:type="dxa"/>
            <w:noWrap w:val="0"/>
            <w:vAlign w:val="top"/>
          </w:tcPr>
          <w:p w14:paraId="5A7CD69D">
            <w:pPr>
              <w:pStyle w:val="13"/>
              <w:keepNext w:val="0"/>
              <w:keepLines w:val="0"/>
              <w:widowControl/>
              <w:suppressLineNumbers w:val="0"/>
              <w:rPr>
                <w:rFonts w:hint="default" w:ascii="方正仿宋_GB18030" w:hAnsi="方正仿宋_GB18030" w:eastAsia="方正仿宋_GB18030" w:cs="方正仿宋_GB18030"/>
                <w:sz w:val="28"/>
                <w:szCs w:val="28"/>
                <w:vertAlign w:val="baseline"/>
                <w:lang w:val="en-US" w:eastAsia="zh-CN"/>
              </w:rPr>
            </w:pPr>
            <w:r>
              <w:rPr>
                <w:rFonts w:hint="eastAsia" w:ascii="方正仿宋_GB18030" w:hAnsi="方正仿宋_GB18030" w:eastAsia="方正仿宋_GB18030" w:cs="方正仿宋_GB18030"/>
                <w:sz w:val="28"/>
                <w:szCs w:val="28"/>
                <w:vertAlign w:val="baseline"/>
                <w:lang w:val="en-US" w:eastAsia="zh-CN"/>
              </w:rPr>
              <w:t>报价(元)</w:t>
            </w:r>
          </w:p>
        </w:tc>
        <w:tc>
          <w:tcPr>
            <w:tcW w:w="3495" w:type="dxa"/>
            <w:noWrap w:val="0"/>
            <w:vAlign w:val="top"/>
          </w:tcPr>
          <w:p w14:paraId="15DA299E">
            <w:pPr>
              <w:pStyle w:val="13"/>
              <w:keepNext w:val="0"/>
              <w:keepLines w:val="0"/>
              <w:widowControl/>
              <w:suppressLineNumbers w:val="0"/>
              <w:rPr>
                <w:rFonts w:hint="eastAsia" w:ascii="方正仿宋_GB18030" w:hAnsi="方正仿宋_GB18030" w:eastAsia="方正仿宋_GB18030" w:cs="方正仿宋_GB18030"/>
                <w:sz w:val="28"/>
                <w:szCs w:val="28"/>
                <w:vertAlign w:val="baseline"/>
                <w:lang w:val="en-US" w:eastAsia="zh-CN"/>
              </w:rPr>
            </w:pPr>
            <w:r>
              <w:rPr>
                <w:rFonts w:hint="eastAsia" w:ascii="方正仿宋_GB18030" w:hAnsi="方正仿宋_GB18030" w:eastAsia="方正仿宋_GB18030" w:cs="方正仿宋_GB18030"/>
                <w:sz w:val="28"/>
                <w:szCs w:val="28"/>
                <w:vertAlign w:val="baseline"/>
                <w:lang w:val="en-US" w:eastAsia="zh-CN"/>
              </w:rPr>
              <w:t>备注</w:t>
            </w:r>
          </w:p>
        </w:tc>
      </w:tr>
      <w:tr w14:paraId="0C87C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 w:type="dxa"/>
            <w:noWrap w:val="0"/>
            <w:vAlign w:val="top"/>
          </w:tcPr>
          <w:p w14:paraId="462F2682">
            <w:pPr>
              <w:pStyle w:val="13"/>
              <w:keepNext w:val="0"/>
              <w:keepLines w:val="0"/>
              <w:widowControl/>
              <w:suppressLineNumbers w:val="0"/>
              <w:rPr>
                <w:rFonts w:hint="eastAsia" w:ascii="方正仿宋_GB18030" w:hAnsi="方正仿宋_GB18030" w:eastAsia="方正仿宋_GB18030" w:cs="方正仿宋_GB18030"/>
                <w:sz w:val="28"/>
                <w:szCs w:val="28"/>
                <w:vertAlign w:val="baseline"/>
                <w:lang w:val="en-US" w:eastAsia="zh-CN"/>
              </w:rPr>
            </w:pPr>
            <w:r>
              <w:rPr>
                <w:rFonts w:hint="eastAsia" w:ascii="方正仿宋_GB18030" w:hAnsi="方正仿宋_GB18030" w:eastAsia="方正仿宋_GB18030" w:cs="方正仿宋_GB18030"/>
                <w:sz w:val="28"/>
                <w:szCs w:val="28"/>
                <w:vertAlign w:val="baseline"/>
                <w:lang w:val="en-US" w:eastAsia="zh-CN"/>
              </w:rPr>
              <w:t>1</w:t>
            </w:r>
          </w:p>
        </w:tc>
        <w:tc>
          <w:tcPr>
            <w:tcW w:w="2145" w:type="dxa"/>
            <w:noWrap w:val="0"/>
            <w:vAlign w:val="center"/>
          </w:tcPr>
          <w:p w14:paraId="01565EA1">
            <w:pPr>
              <w:keepNext w:val="0"/>
              <w:keepLines w:val="0"/>
              <w:widowControl/>
              <w:suppressLineNumbers w:val="0"/>
              <w:jc w:val="left"/>
              <w:rPr>
                <w:rFonts w:hint="eastAsia" w:ascii="方正仿宋_GB18030" w:hAnsi="方正仿宋_GB18030" w:eastAsia="方正仿宋_GB18030" w:cs="方正仿宋_GB18030"/>
                <w:kern w:val="2"/>
                <w:sz w:val="28"/>
                <w:szCs w:val="28"/>
                <w:lang w:val="en-US" w:eastAsia="zh-CN" w:bidi="ar-SA"/>
              </w:rPr>
            </w:pPr>
            <w:r>
              <w:rPr>
                <w:rFonts w:hint="eastAsia" w:ascii="方正仿宋_GB18030" w:hAnsi="方正仿宋_GB18030" w:eastAsia="方正仿宋_GB18030" w:cs="方正仿宋_GB18030"/>
                <w:kern w:val="0"/>
                <w:sz w:val="28"/>
                <w:szCs w:val="28"/>
                <w:lang w:val="en-US" w:eastAsia="zh-CN" w:bidi="ar"/>
              </w:rPr>
              <w:t>患者</w:t>
            </w:r>
            <w:r>
              <w:rPr>
                <w:rFonts w:hint="eastAsia" w:ascii="方正仿宋_GB18030" w:hAnsi="方正仿宋_GB18030" w:eastAsia="方正仿宋_GB18030" w:cs="方正仿宋_GB18030"/>
                <w:kern w:val="0"/>
                <w:sz w:val="28"/>
                <w:szCs w:val="28"/>
                <w:lang w:val="en-US" w:eastAsia="zh-CN" w:bidi="ar"/>
              </w:rPr>
              <w:noBreakHyphen/>
            </w:r>
            <w:r>
              <w:rPr>
                <w:rFonts w:hint="eastAsia" w:ascii="方正仿宋_GB18030" w:hAnsi="方正仿宋_GB18030" w:eastAsia="方正仿宋_GB18030" w:cs="方正仿宋_GB18030"/>
                <w:kern w:val="0"/>
                <w:sz w:val="28"/>
                <w:szCs w:val="28"/>
                <w:lang w:val="en-US" w:eastAsia="zh-CN" w:bidi="ar"/>
              </w:rPr>
              <w:t>单程院内转运服务费</w:t>
            </w:r>
          </w:p>
        </w:tc>
        <w:tc>
          <w:tcPr>
            <w:tcW w:w="930" w:type="dxa"/>
            <w:noWrap w:val="0"/>
            <w:vAlign w:val="center"/>
          </w:tcPr>
          <w:p w14:paraId="32E5BFBC">
            <w:pPr>
              <w:keepNext w:val="0"/>
              <w:keepLines w:val="0"/>
              <w:widowControl/>
              <w:suppressLineNumbers w:val="0"/>
              <w:jc w:val="left"/>
              <w:rPr>
                <w:rFonts w:hint="eastAsia" w:ascii="方正仿宋_GB18030" w:hAnsi="方正仿宋_GB18030" w:eastAsia="方正仿宋_GB18030" w:cs="方正仿宋_GB18030"/>
                <w:kern w:val="2"/>
                <w:sz w:val="28"/>
                <w:szCs w:val="28"/>
                <w:lang w:val="en-US" w:eastAsia="zh-CN" w:bidi="ar-SA"/>
              </w:rPr>
            </w:pPr>
            <w:r>
              <w:rPr>
                <w:rFonts w:hint="eastAsia" w:ascii="方正仿宋_GB18030" w:hAnsi="方正仿宋_GB18030" w:eastAsia="方正仿宋_GB18030" w:cs="方正仿宋_GB18030"/>
                <w:kern w:val="0"/>
                <w:sz w:val="28"/>
                <w:szCs w:val="28"/>
                <w:lang w:val="en-US" w:eastAsia="zh-CN" w:bidi="ar"/>
              </w:rPr>
              <w:t>次</w:t>
            </w:r>
          </w:p>
        </w:tc>
        <w:tc>
          <w:tcPr>
            <w:tcW w:w="1425" w:type="dxa"/>
            <w:noWrap w:val="0"/>
            <w:vAlign w:val="top"/>
          </w:tcPr>
          <w:p w14:paraId="2EEBEB0E">
            <w:pPr>
              <w:pStyle w:val="13"/>
              <w:keepNext w:val="0"/>
              <w:keepLines w:val="0"/>
              <w:widowControl/>
              <w:suppressLineNumbers w:val="0"/>
              <w:rPr>
                <w:rFonts w:hint="eastAsia" w:ascii="方正仿宋_GB18030" w:hAnsi="方正仿宋_GB18030" w:eastAsia="方正仿宋_GB18030" w:cs="方正仿宋_GB18030"/>
                <w:sz w:val="28"/>
                <w:szCs w:val="28"/>
                <w:vertAlign w:val="baseline"/>
              </w:rPr>
            </w:pPr>
          </w:p>
        </w:tc>
        <w:tc>
          <w:tcPr>
            <w:tcW w:w="3495" w:type="dxa"/>
            <w:noWrap w:val="0"/>
            <w:vAlign w:val="center"/>
          </w:tcPr>
          <w:p w14:paraId="6E7BD4C9">
            <w:pPr>
              <w:keepNext w:val="0"/>
              <w:keepLines w:val="0"/>
              <w:widowControl/>
              <w:suppressLineNumbers w:val="0"/>
              <w:jc w:val="left"/>
              <w:rPr>
                <w:rFonts w:hint="eastAsia" w:ascii="方正仿宋_GB18030" w:hAnsi="方正仿宋_GB18030" w:eastAsia="方正仿宋_GB18030" w:cs="方正仿宋_GB18030"/>
                <w:kern w:val="2"/>
                <w:sz w:val="28"/>
                <w:szCs w:val="28"/>
                <w:lang w:val="en-US" w:eastAsia="zh-CN" w:bidi="ar-SA"/>
              </w:rPr>
            </w:pPr>
            <w:r>
              <w:rPr>
                <w:rFonts w:hint="eastAsia" w:ascii="方正仿宋_GB18030" w:hAnsi="方正仿宋_GB18030" w:eastAsia="方正仿宋_GB18030" w:cs="方正仿宋_GB18030"/>
                <w:kern w:val="0"/>
                <w:sz w:val="28"/>
                <w:szCs w:val="28"/>
                <w:lang w:val="en-US" w:eastAsia="zh-CN" w:bidi="ar"/>
              </w:rPr>
              <w:t>患者自费，院内科室间单程转运</w:t>
            </w:r>
          </w:p>
        </w:tc>
      </w:tr>
      <w:tr w14:paraId="1EB29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 w:type="dxa"/>
            <w:noWrap w:val="0"/>
            <w:vAlign w:val="top"/>
          </w:tcPr>
          <w:p w14:paraId="3BB2D59F">
            <w:pPr>
              <w:pStyle w:val="13"/>
              <w:keepNext w:val="0"/>
              <w:keepLines w:val="0"/>
              <w:widowControl/>
              <w:suppressLineNumbers w:val="0"/>
              <w:rPr>
                <w:rFonts w:hint="eastAsia" w:ascii="方正仿宋_GB18030" w:hAnsi="方正仿宋_GB18030" w:eastAsia="方正仿宋_GB18030" w:cs="方正仿宋_GB18030"/>
                <w:sz w:val="28"/>
                <w:szCs w:val="28"/>
                <w:vertAlign w:val="baseline"/>
                <w:lang w:val="en-US" w:eastAsia="zh-CN"/>
              </w:rPr>
            </w:pPr>
            <w:r>
              <w:rPr>
                <w:rFonts w:hint="eastAsia" w:ascii="方正仿宋_GB18030" w:hAnsi="方正仿宋_GB18030" w:eastAsia="方正仿宋_GB18030" w:cs="方正仿宋_GB18030"/>
                <w:sz w:val="28"/>
                <w:szCs w:val="28"/>
                <w:vertAlign w:val="baseline"/>
                <w:lang w:val="en-US" w:eastAsia="zh-CN"/>
              </w:rPr>
              <w:t>2</w:t>
            </w:r>
          </w:p>
        </w:tc>
        <w:tc>
          <w:tcPr>
            <w:tcW w:w="2145" w:type="dxa"/>
            <w:noWrap w:val="0"/>
            <w:vAlign w:val="center"/>
          </w:tcPr>
          <w:p w14:paraId="2EEC1312">
            <w:pPr>
              <w:keepNext w:val="0"/>
              <w:keepLines w:val="0"/>
              <w:widowControl/>
              <w:suppressLineNumbers w:val="0"/>
              <w:jc w:val="left"/>
              <w:rPr>
                <w:rFonts w:hint="eastAsia" w:ascii="方正仿宋_GB18030" w:hAnsi="方正仿宋_GB18030" w:eastAsia="方正仿宋_GB18030" w:cs="方正仿宋_GB18030"/>
                <w:kern w:val="2"/>
                <w:sz w:val="28"/>
                <w:szCs w:val="28"/>
                <w:lang w:val="en-US" w:eastAsia="zh-CN" w:bidi="ar-SA"/>
              </w:rPr>
            </w:pPr>
            <w:r>
              <w:rPr>
                <w:rFonts w:hint="eastAsia" w:ascii="方正仿宋_GB18030" w:hAnsi="方正仿宋_GB18030" w:eastAsia="方正仿宋_GB18030" w:cs="方正仿宋_GB18030"/>
                <w:kern w:val="0"/>
                <w:sz w:val="28"/>
                <w:szCs w:val="28"/>
                <w:lang w:val="en-US" w:eastAsia="zh-CN" w:bidi="ar"/>
              </w:rPr>
              <w:t>患者</w:t>
            </w:r>
            <w:r>
              <w:rPr>
                <w:rFonts w:hint="eastAsia" w:ascii="方正仿宋_GB18030" w:hAnsi="方正仿宋_GB18030" w:eastAsia="方正仿宋_GB18030" w:cs="方正仿宋_GB18030"/>
                <w:kern w:val="0"/>
                <w:sz w:val="28"/>
                <w:szCs w:val="28"/>
                <w:lang w:val="en-US" w:eastAsia="zh-CN" w:bidi="ar"/>
              </w:rPr>
              <w:noBreakHyphen/>
            </w:r>
            <w:r>
              <w:rPr>
                <w:rFonts w:hint="eastAsia" w:ascii="方正仿宋_GB18030" w:hAnsi="方正仿宋_GB18030" w:eastAsia="方正仿宋_GB18030" w:cs="方正仿宋_GB18030"/>
                <w:kern w:val="0"/>
                <w:sz w:val="28"/>
                <w:szCs w:val="28"/>
                <w:lang w:val="en-US" w:eastAsia="zh-CN" w:bidi="ar"/>
              </w:rPr>
              <w:t>双程院内转运服务费</w:t>
            </w:r>
          </w:p>
        </w:tc>
        <w:tc>
          <w:tcPr>
            <w:tcW w:w="930" w:type="dxa"/>
            <w:noWrap w:val="0"/>
            <w:vAlign w:val="center"/>
          </w:tcPr>
          <w:p w14:paraId="7943CA2D">
            <w:pPr>
              <w:keepNext w:val="0"/>
              <w:keepLines w:val="0"/>
              <w:widowControl/>
              <w:suppressLineNumbers w:val="0"/>
              <w:jc w:val="left"/>
              <w:rPr>
                <w:rFonts w:hint="eastAsia" w:ascii="方正仿宋_GB18030" w:hAnsi="方正仿宋_GB18030" w:eastAsia="方正仿宋_GB18030" w:cs="方正仿宋_GB18030"/>
                <w:kern w:val="2"/>
                <w:sz w:val="28"/>
                <w:szCs w:val="28"/>
                <w:lang w:val="en-US" w:eastAsia="zh-CN" w:bidi="ar-SA"/>
              </w:rPr>
            </w:pPr>
            <w:r>
              <w:rPr>
                <w:rFonts w:hint="eastAsia" w:ascii="方正仿宋_GB18030" w:hAnsi="方正仿宋_GB18030" w:eastAsia="方正仿宋_GB18030" w:cs="方正仿宋_GB18030"/>
                <w:kern w:val="0"/>
                <w:sz w:val="28"/>
                <w:szCs w:val="28"/>
                <w:lang w:val="en-US" w:eastAsia="zh-CN" w:bidi="ar"/>
              </w:rPr>
              <w:t>次</w:t>
            </w:r>
          </w:p>
        </w:tc>
        <w:tc>
          <w:tcPr>
            <w:tcW w:w="1425" w:type="dxa"/>
            <w:noWrap w:val="0"/>
            <w:vAlign w:val="top"/>
          </w:tcPr>
          <w:p w14:paraId="55C186B6">
            <w:pPr>
              <w:pStyle w:val="13"/>
              <w:keepNext w:val="0"/>
              <w:keepLines w:val="0"/>
              <w:widowControl/>
              <w:suppressLineNumbers w:val="0"/>
              <w:rPr>
                <w:rFonts w:hint="eastAsia" w:ascii="方正仿宋_GB18030" w:hAnsi="方正仿宋_GB18030" w:eastAsia="方正仿宋_GB18030" w:cs="方正仿宋_GB18030"/>
                <w:sz w:val="28"/>
                <w:szCs w:val="28"/>
                <w:vertAlign w:val="baseline"/>
              </w:rPr>
            </w:pPr>
          </w:p>
        </w:tc>
        <w:tc>
          <w:tcPr>
            <w:tcW w:w="3495" w:type="dxa"/>
            <w:noWrap w:val="0"/>
            <w:vAlign w:val="center"/>
          </w:tcPr>
          <w:p w14:paraId="594261D5">
            <w:pPr>
              <w:keepNext w:val="0"/>
              <w:keepLines w:val="0"/>
              <w:widowControl/>
              <w:suppressLineNumbers w:val="0"/>
              <w:jc w:val="left"/>
              <w:rPr>
                <w:rFonts w:hint="eastAsia" w:ascii="方正仿宋_GB18030" w:hAnsi="方正仿宋_GB18030" w:eastAsia="方正仿宋_GB18030" w:cs="方正仿宋_GB18030"/>
                <w:kern w:val="2"/>
                <w:sz w:val="28"/>
                <w:szCs w:val="28"/>
                <w:lang w:val="en-US" w:eastAsia="zh-CN" w:bidi="ar-SA"/>
              </w:rPr>
            </w:pPr>
            <w:r>
              <w:rPr>
                <w:rFonts w:hint="eastAsia" w:ascii="方正仿宋_GB18030" w:hAnsi="方正仿宋_GB18030" w:eastAsia="方正仿宋_GB18030" w:cs="方正仿宋_GB18030"/>
                <w:kern w:val="0"/>
                <w:sz w:val="28"/>
                <w:szCs w:val="28"/>
                <w:lang w:val="en-US" w:eastAsia="zh-CN" w:bidi="ar"/>
              </w:rPr>
              <w:t>患者自费，往返转运</w:t>
            </w:r>
          </w:p>
        </w:tc>
      </w:tr>
      <w:tr w14:paraId="6AEB6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 w:type="dxa"/>
            <w:noWrap w:val="0"/>
            <w:vAlign w:val="top"/>
          </w:tcPr>
          <w:p w14:paraId="7F784C9E">
            <w:pPr>
              <w:pStyle w:val="13"/>
              <w:keepNext w:val="0"/>
              <w:keepLines w:val="0"/>
              <w:widowControl/>
              <w:suppressLineNumbers w:val="0"/>
              <w:rPr>
                <w:rFonts w:hint="eastAsia" w:ascii="方正仿宋_GB18030" w:hAnsi="方正仿宋_GB18030" w:eastAsia="方正仿宋_GB18030" w:cs="方正仿宋_GB18030"/>
                <w:sz w:val="28"/>
                <w:szCs w:val="28"/>
                <w:vertAlign w:val="baseline"/>
                <w:lang w:val="en-US" w:eastAsia="zh-CN"/>
              </w:rPr>
            </w:pPr>
            <w:r>
              <w:rPr>
                <w:rFonts w:hint="eastAsia" w:ascii="方正仿宋_GB18030" w:hAnsi="方正仿宋_GB18030" w:eastAsia="方正仿宋_GB18030" w:cs="方正仿宋_GB18030"/>
                <w:sz w:val="28"/>
                <w:szCs w:val="28"/>
                <w:vertAlign w:val="baseline"/>
                <w:lang w:val="en-US" w:eastAsia="zh-CN"/>
              </w:rPr>
              <w:t>3</w:t>
            </w:r>
          </w:p>
        </w:tc>
        <w:tc>
          <w:tcPr>
            <w:tcW w:w="2145" w:type="dxa"/>
            <w:noWrap w:val="0"/>
            <w:vAlign w:val="center"/>
          </w:tcPr>
          <w:p w14:paraId="4F11C4A0">
            <w:pPr>
              <w:keepNext w:val="0"/>
              <w:keepLines w:val="0"/>
              <w:widowControl/>
              <w:suppressLineNumbers w:val="0"/>
              <w:jc w:val="left"/>
              <w:rPr>
                <w:rFonts w:hint="eastAsia" w:ascii="方正仿宋_GB18030" w:hAnsi="方正仿宋_GB18030" w:eastAsia="方正仿宋_GB18030" w:cs="方正仿宋_GB18030"/>
                <w:kern w:val="2"/>
                <w:sz w:val="28"/>
                <w:szCs w:val="28"/>
                <w:lang w:val="en-US" w:eastAsia="zh-CN" w:bidi="ar-SA"/>
              </w:rPr>
            </w:pPr>
            <w:r>
              <w:rPr>
                <w:rFonts w:hint="eastAsia" w:ascii="方正仿宋_GB18030" w:hAnsi="方正仿宋_GB18030" w:eastAsia="方正仿宋_GB18030" w:cs="方正仿宋_GB18030"/>
                <w:kern w:val="0"/>
                <w:sz w:val="28"/>
                <w:szCs w:val="28"/>
                <w:lang w:val="en-US" w:eastAsia="zh-CN" w:bidi="ar"/>
              </w:rPr>
              <w:t>向医院缴纳：水电及场地管理费</w:t>
            </w:r>
          </w:p>
        </w:tc>
        <w:tc>
          <w:tcPr>
            <w:tcW w:w="930" w:type="dxa"/>
            <w:noWrap w:val="0"/>
            <w:vAlign w:val="center"/>
          </w:tcPr>
          <w:p w14:paraId="4F7E1EE4">
            <w:pPr>
              <w:keepNext w:val="0"/>
              <w:keepLines w:val="0"/>
              <w:widowControl/>
              <w:suppressLineNumbers w:val="0"/>
              <w:jc w:val="left"/>
              <w:rPr>
                <w:rFonts w:hint="eastAsia" w:ascii="方正仿宋_GB18030" w:hAnsi="方正仿宋_GB18030" w:eastAsia="方正仿宋_GB18030" w:cs="方正仿宋_GB18030"/>
                <w:kern w:val="2"/>
                <w:sz w:val="28"/>
                <w:szCs w:val="28"/>
                <w:lang w:val="en-US" w:eastAsia="zh-CN" w:bidi="ar-SA"/>
              </w:rPr>
            </w:pPr>
            <w:r>
              <w:rPr>
                <w:rFonts w:hint="eastAsia" w:ascii="方正仿宋_GB18030" w:hAnsi="方正仿宋_GB18030" w:eastAsia="方正仿宋_GB18030" w:cs="方正仿宋_GB18030"/>
                <w:kern w:val="0"/>
                <w:sz w:val="28"/>
                <w:szCs w:val="28"/>
                <w:lang w:val="en-US" w:eastAsia="zh-CN" w:bidi="ar"/>
              </w:rPr>
              <w:t>年</w:t>
            </w:r>
          </w:p>
        </w:tc>
        <w:tc>
          <w:tcPr>
            <w:tcW w:w="1425" w:type="dxa"/>
            <w:noWrap w:val="0"/>
            <w:vAlign w:val="top"/>
          </w:tcPr>
          <w:p w14:paraId="71BBE2F2">
            <w:pPr>
              <w:pStyle w:val="13"/>
              <w:keepNext w:val="0"/>
              <w:keepLines w:val="0"/>
              <w:widowControl/>
              <w:suppressLineNumbers w:val="0"/>
              <w:rPr>
                <w:rFonts w:hint="eastAsia" w:ascii="方正仿宋_GB18030" w:hAnsi="方正仿宋_GB18030" w:eastAsia="方正仿宋_GB18030" w:cs="方正仿宋_GB18030"/>
                <w:sz w:val="28"/>
                <w:szCs w:val="28"/>
                <w:vertAlign w:val="baseline"/>
              </w:rPr>
            </w:pPr>
          </w:p>
        </w:tc>
        <w:tc>
          <w:tcPr>
            <w:tcW w:w="3495" w:type="dxa"/>
            <w:noWrap w:val="0"/>
            <w:vAlign w:val="center"/>
          </w:tcPr>
          <w:p w14:paraId="39C03B94">
            <w:pPr>
              <w:keepNext w:val="0"/>
              <w:keepLines w:val="0"/>
              <w:widowControl/>
              <w:suppressLineNumbers w:val="0"/>
              <w:jc w:val="left"/>
              <w:rPr>
                <w:rFonts w:hint="eastAsia" w:ascii="方正仿宋_GB18030" w:hAnsi="方正仿宋_GB18030" w:eastAsia="方正仿宋_GB18030" w:cs="方正仿宋_GB18030"/>
                <w:kern w:val="2"/>
                <w:sz w:val="28"/>
                <w:szCs w:val="28"/>
                <w:lang w:val="en-US" w:eastAsia="zh-CN" w:bidi="ar-SA"/>
              </w:rPr>
            </w:pPr>
            <w:r>
              <w:rPr>
                <w:rFonts w:hint="eastAsia" w:ascii="方正仿宋_GB18030" w:hAnsi="方正仿宋_GB18030" w:eastAsia="方正仿宋_GB18030" w:cs="方正仿宋_GB18030"/>
                <w:kern w:val="0"/>
                <w:sz w:val="28"/>
                <w:szCs w:val="28"/>
                <w:lang w:val="en-US" w:eastAsia="zh-CN" w:bidi="ar"/>
              </w:rPr>
              <w:t>供应商每年向医院缴纳费用，包含场地占用、水电分摊</w:t>
            </w:r>
          </w:p>
        </w:tc>
      </w:tr>
    </w:tbl>
    <w:p w14:paraId="7D04804C">
      <w:pPr>
        <w:rPr>
          <w:rFonts w:hint="eastAsia"/>
          <w:lang w:val="en-US" w:eastAsia="zh-CN"/>
        </w:rPr>
      </w:pPr>
    </w:p>
    <w:p w14:paraId="226B7DAF">
      <w:pPr>
        <w:rPr>
          <w:rFonts w:hint="eastAsia"/>
          <w:lang w:val="en-US" w:eastAsia="zh-CN"/>
        </w:rPr>
      </w:pPr>
    </w:p>
    <w:p w14:paraId="6D2458D9">
      <w:pPr>
        <w:rPr>
          <w:rFonts w:hint="eastAsia"/>
          <w:lang w:val="en-US" w:eastAsia="zh-CN"/>
        </w:rPr>
      </w:pPr>
    </w:p>
    <w:p w14:paraId="70E902D3">
      <w:pPr>
        <w:rPr>
          <w:rFonts w:hint="eastAsia"/>
          <w:lang w:val="en-US" w:eastAsia="zh-CN"/>
        </w:rPr>
      </w:pPr>
    </w:p>
    <w:p w14:paraId="59D0C6F3">
      <w:pPr>
        <w:jc w:val="left"/>
        <w:rPr>
          <w:rFonts w:hint="default" w:ascii="仿宋" w:hAnsi="仿宋" w:eastAsia="仿宋" w:cs="Times New Roman"/>
          <w:color w:val="0000FF"/>
          <w:kern w:val="2"/>
          <w:sz w:val="28"/>
          <w:szCs w:val="28"/>
          <w:lang w:val="en-US" w:eastAsia="zh-CN" w:bidi="ar-SA"/>
        </w:rPr>
      </w:pPr>
      <w:r>
        <w:rPr>
          <w:rFonts w:hint="eastAsia" w:ascii="仿宋" w:hAnsi="仿宋" w:eastAsia="仿宋" w:cs="Times New Roman"/>
          <w:color w:val="auto"/>
          <w:kern w:val="2"/>
          <w:sz w:val="28"/>
          <w:szCs w:val="28"/>
          <w:lang w:val="en-US" w:eastAsia="zh-CN" w:bidi="ar-SA"/>
        </w:rPr>
        <w:t>备注：报价表如有列举项目不全的，各报价公司可以在原表上添项，不能改变原表格内容，报价表最多保留小数点后两位。报价合计总价在列表末汇总，此报价单须单独密封。</w:t>
      </w:r>
    </w:p>
    <w:p w14:paraId="7D539EBD">
      <w:pPr>
        <w:rPr>
          <w:rFonts w:hint="eastAsia"/>
          <w:color w:val="auto"/>
          <w:lang w:val="en-US" w:eastAsia="zh-CN"/>
        </w:rPr>
      </w:pPr>
      <w:r>
        <w:rPr>
          <w:rFonts w:hint="eastAsia"/>
          <w:color w:val="auto"/>
          <w:lang w:val="en-US" w:eastAsia="zh-CN"/>
        </w:rPr>
        <w:br w:type="page"/>
      </w:r>
    </w:p>
    <w:p w14:paraId="37AC5681">
      <w:pPr>
        <w:spacing w:line="360" w:lineRule="auto"/>
        <w:outlineLvl w:val="1"/>
        <w:rPr>
          <w:color w:val="auto"/>
        </w:rPr>
      </w:pPr>
      <w:r>
        <w:rPr>
          <w:rFonts w:hint="eastAsia" w:ascii="黑体" w:hAnsi="黑体" w:eastAsia="黑体" w:cs="黑体"/>
          <w:color w:val="auto"/>
          <w:kern w:val="2"/>
          <w:sz w:val="32"/>
          <w:szCs w:val="32"/>
          <w:lang w:val="en-US" w:eastAsia="zh-CN" w:bidi="ar-SA"/>
        </w:rPr>
        <w:t>附件3：报名登记表</w:t>
      </w:r>
    </w:p>
    <w:p w14:paraId="11D5D951">
      <w:pPr>
        <w:jc w:val="center"/>
        <w:rPr>
          <w:rFonts w:ascii="华文中宋" w:hAnsi="华文中宋" w:eastAsia="华文中宋"/>
          <w:b/>
          <w:color w:val="auto"/>
          <w:sz w:val="36"/>
          <w:szCs w:val="36"/>
        </w:rPr>
      </w:pPr>
      <w:r>
        <w:rPr>
          <w:rFonts w:hint="eastAsia" w:ascii="华文中宋" w:hAnsi="华文中宋" w:eastAsia="华文中宋"/>
          <w:b/>
          <w:color w:val="auto"/>
          <w:sz w:val="36"/>
          <w:szCs w:val="36"/>
        </w:rPr>
        <w:t>报名登记表</w:t>
      </w:r>
    </w:p>
    <w:tbl>
      <w:tblPr>
        <w:tblStyle w:val="16"/>
        <w:tblpPr w:leftFromText="180" w:rightFromText="180" w:vertAnchor="text" w:horzAnchor="page" w:tblpX="1275" w:tblpY="100"/>
        <w:tblOverlap w:val="never"/>
        <w:tblW w:w="94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37"/>
        <w:gridCol w:w="1990"/>
        <w:gridCol w:w="1447"/>
        <w:gridCol w:w="2605"/>
      </w:tblGrid>
      <w:tr w14:paraId="6E791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2" w:hRule="atLeast"/>
        </w:trPr>
        <w:tc>
          <w:tcPr>
            <w:tcW w:w="3437" w:type="dxa"/>
            <w:tcBorders>
              <w:top w:val="single" w:color="auto" w:sz="4" w:space="0"/>
              <w:left w:val="single" w:color="auto" w:sz="4" w:space="0"/>
              <w:bottom w:val="single" w:color="auto" w:sz="4" w:space="0"/>
              <w:right w:val="single" w:color="auto" w:sz="4" w:space="0"/>
            </w:tcBorders>
            <w:noWrap w:val="0"/>
            <w:vAlign w:val="center"/>
          </w:tcPr>
          <w:p w14:paraId="64025D73">
            <w:pPr>
              <w:jc w:val="center"/>
              <w:rPr>
                <w:rFonts w:ascii="仿宋" w:hAnsi="仿宋" w:eastAsia="仿宋"/>
                <w:color w:val="auto"/>
                <w:kern w:val="2"/>
                <w:sz w:val="28"/>
                <w:szCs w:val="28"/>
              </w:rPr>
            </w:pPr>
            <w:r>
              <w:rPr>
                <w:rFonts w:hint="eastAsia"/>
                <w:color w:val="auto"/>
                <w:kern w:val="2"/>
                <w:sz w:val="28"/>
                <w:szCs w:val="28"/>
                <w:lang w:val="en-US" w:eastAsia="zh-CN"/>
              </w:rPr>
              <w:t>*</w:t>
            </w:r>
            <w:r>
              <w:rPr>
                <w:rFonts w:hint="eastAsia" w:ascii="仿宋" w:hAnsi="仿宋" w:eastAsia="仿宋"/>
                <w:color w:val="auto"/>
                <w:kern w:val="2"/>
                <w:sz w:val="28"/>
                <w:szCs w:val="28"/>
              </w:rPr>
              <w:t>报名项目名称（包号）</w:t>
            </w:r>
          </w:p>
        </w:tc>
        <w:tc>
          <w:tcPr>
            <w:tcW w:w="6042" w:type="dxa"/>
            <w:gridSpan w:val="3"/>
            <w:tcBorders>
              <w:top w:val="single" w:color="auto" w:sz="4" w:space="0"/>
              <w:left w:val="single" w:color="auto" w:sz="4" w:space="0"/>
              <w:bottom w:val="single" w:color="auto" w:sz="4" w:space="0"/>
              <w:right w:val="single" w:color="auto" w:sz="4" w:space="0"/>
            </w:tcBorders>
            <w:noWrap w:val="0"/>
            <w:vAlign w:val="center"/>
          </w:tcPr>
          <w:p w14:paraId="01EFE29F">
            <w:pPr>
              <w:pStyle w:val="7"/>
              <w:jc w:val="center"/>
              <w:rPr>
                <w:rFonts w:hint="eastAsia" w:ascii="仿宋" w:hAnsi="仿宋" w:eastAsia="仿宋"/>
                <w:color w:val="auto"/>
                <w:kern w:val="2"/>
                <w:sz w:val="28"/>
                <w:szCs w:val="28"/>
                <w:lang w:val="en-US" w:eastAsia="zh-CN"/>
              </w:rPr>
            </w:pPr>
            <w:r>
              <w:rPr>
                <w:rFonts w:hint="eastAsia" w:ascii="仿宋" w:hAnsi="仿宋" w:eastAsia="仿宋"/>
                <w:color w:val="auto"/>
                <w:kern w:val="2"/>
                <w:sz w:val="28"/>
                <w:szCs w:val="28"/>
                <w:lang w:val="en-US" w:eastAsia="zh-CN"/>
              </w:rPr>
              <w:t>成都市新津区中医医院特殊患者安全转运服务采购项目询预算价（二次）</w:t>
            </w:r>
          </w:p>
        </w:tc>
      </w:tr>
      <w:tr w14:paraId="4A90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trPr>
        <w:tc>
          <w:tcPr>
            <w:tcW w:w="3437" w:type="dxa"/>
            <w:tcBorders>
              <w:top w:val="single" w:color="auto" w:sz="4" w:space="0"/>
              <w:left w:val="single" w:color="auto" w:sz="4" w:space="0"/>
              <w:bottom w:val="single" w:color="auto" w:sz="4" w:space="0"/>
              <w:right w:val="single" w:color="auto" w:sz="4" w:space="0"/>
            </w:tcBorders>
            <w:noWrap w:val="0"/>
            <w:vAlign w:val="center"/>
          </w:tcPr>
          <w:p w14:paraId="0FBD3EAE">
            <w:pPr>
              <w:ind w:firstLine="280" w:firstLineChars="100"/>
              <w:rPr>
                <w:rFonts w:ascii="仿宋" w:hAnsi="仿宋" w:eastAsia="仿宋"/>
                <w:color w:val="auto"/>
                <w:kern w:val="2"/>
                <w:sz w:val="28"/>
                <w:szCs w:val="28"/>
              </w:rPr>
            </w:pPr>
            <w:r>
              <w:rPr>
                <w:rFonts w:hint="eastAsia"/>
                <w:color w:val="auto"/>
                <w:kern w:val="2"/>
                <w:sz w:val="28"/>
                <w:szCs w:val="28"/>
                <w:lang w:val="en-US" w:eastAsia="zh-CN"/>
              </w:rPr>
              <w:t>*</w:t>
            </w:r>
            <w:r>
              <w:rPr>
                <w:rFonts w:hint="eastAsia" w:ascii="仿宋" w:hAnsi="仿宋" w:eastAsia="仿宋"/>
                <w:color w:val="auto"/>
                <w:kern w:val="2"/>
                <w:sz w:val="28"/>
                <w:szCs w:val="28"/>
              </w:rPr>
              <w:t>报名单位 /个人名称</w:t>
            </w:r>
          </w:p>
          <w:p w14:paraId="0CD2B98E">
            <w:pPr>
              <w:ind w:firstLine="236" w:firstLineChars="98"/>
              <w:rPr>
                <w:rFonts w:ascii="仿宋" w:hAnsi="仿宋" w:eastAsia="仿宋"/>
                <w:b/>
                <w:color w:val="auto"/>
                <w:kern w:val="2"/>
                <w:sz w:val="24"/>
                <w:szCs w:val="24"/>
              </w:rPr>
            </w:pPr>
            <w:r>
              <w:rPr>
                <w:rFonts w:hint="eastAsia" w:ascii="仿宋" w:hAnsi="仿宋" w:eastAsia="仿宋"/>
                <w:b/>
                <w:color w:val="auto"/>
                <w:kern w:val="2"/>
                <w:sz w:val="24"/>
                <w:szCs w:val="22"/>
              </w:rPr>
              <w:t>(统一社会信用代码/税号)</w:t>
            </w:r>
          </w:p>
        </w:tc>
        <w:tc>
          <w:tcPr>
            <w:tcW w:w="6042" w:type="dxa"/>
            <w:gridSpan w:val="3"/>
            <w:tcBorders>
              <w:top w:val="single" w:color="auto" w:sz="4" w:space="0"/>
              <w:left w:val="single" w:color="auto" w:sz="4" w:space="0"/>
              <w:bottom w:val="single" w:color="auto" w:sz="4" w:space="0"/>
              <w:right w:val="single" w:color="auto" w:sz="4" w:space="0"/>
            </w:tcBorders>
            <w:noWrap w:val="0"/>
            <w:vAlign w:val="top"/>
          </w:tcPr>
          <w:p w14:paraId="61543E9F">
            <w:pPr>
              <w:jc w:val="center"/>
              <w:rPr>
                <w:rFonts w:hint="default" w:ascii="仿宋" w:hAnsi="仿宋" w:eastAsia="仿宋"/>
                <w:color w:val="auto"/>
                <w:kern w:val="2"/>
                <w:sz w:val="28"/>
                <w:szCs w:val="28"/>
                <w:lang w:val="en-US" w:eastAsia="zh-CN"/>
              </w:rPr>
            </w:pPr>
            <w:r>
              <w:rPr>
                <w:rFonts w:hint="eastAsia"/>
                <w:color w:val="auto"/>
                <w:kern w:val="2"/>
                <w:sz w:val="28"/>
                <w:szCs w:val="28"/>
                <w:lang w:val="en-US" w:eastAsia="zh-CN"/>
              </w:rPr>
              <w:t xml:space="preserve">                              （盖章）</w:t>
            </w:r>
          </w:p>
        </w:tc>
      </w:tr>
      <w:tr w14:paraId="27FFF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trPr>
        <w:tc>
          <w:tcPr>
            <w:tcW w:w="3437" w:type="dxa"/>
            <w:tcBorders>
              <w:top w:val="single" w:color="auto" w:sz="4" w:space="0"/>
              <w:left w:val="single" w:color="auto" w:sz="4" w:space="0"/>
              <w:bottom w:val="single" w:color="auto" w:sz="4" w:space="0"/>
              <w:right w:val="single" w:color="auto" w:sz="4" w:space="0"/>
            </w:tcBorders>
            <w:noWrap w:val="0"/>
            <w:vAlign w:val="center"/>
          </w:tcPr>
          <w:p w14:paraId="0F2A20BC">
            <w:pPr>
              <w:jc w:val="center"/>
              <w:rPr>
                <w:rFonts w:ascii="仿宋" w:hAnsi="仿宋" w:eastAsia="仿宋"/>
                <w:color w:val="auto"/>
                <w:kern w:val="2"/>
                <w:sz w:val="28"/>
                <w:szCs w:val="28"/>
              </w:rPr>
            </w:pPr>
            <w:r>
              <w:rPr>
                <w:rFonts w:hint="eastAsia"/>
                <w:color w:val="auto"/>
                <w:kern w:val="2"/>
                <w:sz w:val="28"/>
                <w:szCs w:val="28"/>
                <w:lang w:val="en-US" w:eastAsia="zh-CN"/>
              </w:rPr>
              <w:t>*</w:t>
            </w:r>
            <w:r>
              <w:rPr>
                <w:rFonts w:hint="eastAsia" w:ascii="仿宋" w:hAnsi="仿宋" w:eastAsia="仿宋"/>
                <w:color w:val="auto"/>
                <w:kern w:val="2"/>
                <w:sz w:val="28"/>
                <w:szCs w:val="28"/>
              </w:rPr>
              <w:t>单位  / 个人地址</w:t>
            </w:r>
          </w:p>
        </w:tc>
        <w:tc>
          <w:tcPr>
            <w:tcW w:w="6042" w:type="dxa"/>
            <w:gridSpan w:val="3"/>
            <w:tcBorders>
              <w:top w:val="single" w:color="auto" w:sz="4" w:space="0"/>
              <w:left w:val="single" w:color="auto" w:sz="4" w:space="0"/>
              <w:bottom w:val="single" w:color="auto" w:sz="4" w:space="0"/>
              <w:right w:val="single" w:color="auto" w:sz="4" w:space="0"/>
            </w:tcBorders>
            <w:noWrap w:val="0"/>
            <w:vAlign w:val="top"/>
          </w:tcPr>
          <w:p w14:paraId="12FF0918">
            <w:pPr>
              <w:jc w:val="center"/>
              <w:rPr>
                <w:rFonts w:ascii="仿宋" w:hAnsi="仿宋" w:eastAsia="仿宋"/>
                <w:color w:val="auto"/>
                <w:kern w:val="2"/>
                <w:sz w:val="28"/>
                <w:szCs w:val="28"/>
              </w:rPr>
            </w:pPr>
          </w:p>
        </w:tc>
      </w:tr>
      <w:tr w14:paraId="74FAD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3437" w:type="dxa"/>
            <w:tcBorders>
              <w:top w:val="single" w:color="auto" w:sz="4" w:space="0"/>
              <w:left w:val="single" w:color="auto" w:sz="4" w:space="0"/>
              <w:bottom w:val="single" w:color="auto" w:sz="4" w:space="0"/>
              <w:right w:val="single" w:color="auto" w:sz="4" w:space="0"/>
            </w:tcBorders>
            <w:noWrap w:val="0"/>
            <w:vAlign w:val="center"/>
          </w:tcPr>
          <w:p w14:paraId="2A8C20EF">
            <w:pPr>
              <w:jc w:val="center"/>
              <w:rPr>
                <w:rFonts w:hint="eastAsia" w:ascii="仿宋" w:hAnsi="仿宋" w:eastAsia="仿宋"/>
                <w:color w:val="auto"/>
                <w:kern w:val="2"/>
                <w:sz w:val="28"/>
                <w:szCs w:val="28"/>
                <w:lang w:eastAsia="zh-CN"/>
              </w:rPr>
            </w:pPr>
            <w:r>
              <w:rPr>
                <w:rFonts w:hint="eastAsia" w:ascii="仿宋" w:hAnsi="仿宋" w:eastAsia="仿宋"/>
                <w:color w:val="auto"/>
                <w:kern w:val="2"/>
                <w:sz w:val="28"/>
                <w:szCs w:val="28"/>
                <w:lang w:val="en-US" w:eastAsia="zh-CN"/>
              </w:rPr>
              <w:t xml:space="preserve">单位电话 </w:t>
            </w:r>
          </w:p>
        </w:tc>
        <w:tc>
          <w:tcPr>
            <w:tcW w:w="6042" w:type="dxa"/>
            <w:gridSpan w:val="3"/>
            <w:tcBorders>
              <w:top w:val="single" w:color="auto" w:sz="4" w:space="0"/>
              <w:left w:val="single" w:color="auto" w:sz="4" w:space="0"/>
              <w:bottom w:val="single" w:color="auto" w:sz="4" w:space="0"/>
              <w:right w:val="single" w:color="auto" w:sz="4" w:space="0"/>
            </w:tcBorders>
            <w:noWrap w:val="0"/>
            <w:vAlign w:val="top"/>
          </w:tcPr>
          <w:p w14:paraId="0857CFC7">
            <w:pPr>
              <w:rPr>
                <w:rFonts w:ascii="仿宋" w:hAnsi="仿宋" w:eastAsia="仿宋"/>
                <w:color w:val="auto"/>
                <w:kern w:val="2"/>
                <w:sz w:val="24"/>
                <w:szCs w:val="24"/>
              </w:rPr>
            </w:pPr>
          </w:p>
        </w:tc>
      </w:tr>
      <w:tr w14:paraId="31CB2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trPr>
        <w:tc>
          <w:tcPr>
            <w:tcW w:w="3437" w:type="dxa"/>
            <w:tcBorders>
              <w:top w:val="single" w:color="auto" w:sz="4" w:space="0"/>
              <w:left w:val="single" w:color="auto" w:sz="4" w:space="0"/>
              <w:bottom w:val="single" w:color="auto" w:sz="4" w:space="0"/>
              <w:right w:val="single" w:color="auto" w:sz="4" w:space="0"/>
            </w:tcBorders>
            <w:noWrap w:val="0"/>
            <w:vAlign w:val="center"/>
          </w:tcPr>
          <w:p w14:paraId="186C4445">
            <w:pPr>
              <w:jc w:val="center"/>
              <w:rPr>
                <w:rFonts w:ascii="仿宋" w:hAnsi="仿宋" w:eastAsia="仿宋"/>
                <w:color w:val="auto"/>
                <w:kern w:val="2"/>
                <w:sz w:val="28"/>
                <w:szCs w:val="28"/>
              </w:rPr>
            </w:pPr>
            <w:r>
              <w:rPr>
                <w:rFonts w:hint="eastAsia"/>
                <w:color w:val="auto"/>
                <w:kern w:val="2"/>
                <w:sz w:val="28"/>
                <w:szCs w:val="28"/>
                <w:lang w:val="en-US" w:eastAsia="zh-CN"/>
              </w:rPr>
              <w:t>*</w:t>
            </w:r>
            <w:r>
              <w:rPr>
                <w:rFonts w:hint="eastAsia" w:ascii="仿宋" w:hAnsi="仿宋" w:eastAsia="仿宋"/>
                <w:color w:val="auto"/>
                <w:kern w:val="2"/>
                <w:sz w:val="28"/>
                <w:szCs w:val="28"/>
                <w:lang w:val="en-US" w:eastAsia="zh-CN"/>
              </w:rPr>
              <w:t>经办</w:t>
            </w:r>
            <w:r>
              <w:rPr>
                <w:rFonts w:hint="eastAsia" w:ascii="仿宋" w:hAnsi="仿宋" w:eastAsia="仿宋"/>
                <w:color w:val="auto"/>
                <w:kern w:val="2"/>
                <w:sz w:val="28"/>
                <w:szCs w:val="28"/>
              </w:rPr>
              <w:t>联系人</w:t>
            </w:r>
          </w:p>
        </w:tc>
        <w:tc>
          <w:tcPr>
            <w:tcW w:w="1990" w:type="dxa"/>
            <w:tcBorders>
              <w:top w:val="single" w:color="auto" w:sz="4" w:space="0"/>
              <w:left w:val="single" w:color="auto" w:sz="4" w:space="0"/>
              <w:bottom w:val="single" w:color="auto" w:sz="4" w:space="0"/>
              <w:right w:val="single" w:color="auto" w:sz="4" w:space="0"/>
            </w:tcBorders>
            <w:noWrap w:val="0"/>
            <w:vAlign w:val="top"/>
          </w:tcPr>
          <w:p w14:paraId="1A96C5A9">
            <w:pPr>
              <w:jc w:val="center"/>
              <w:rPr>
                <w:rFonts w:ascii="仿宋" w:hAnsi="仿宋" w:eastAsia="仿宋"/>
                <w:color w:val="auto"/>
                <w:kern w:val="2"/>
                <w:sz w:val="28"/>
                <w:szCs w:val="28"/>
              </w:rPr>
            </w:pPr>
          </w:p>
        </w:tc>
        <w:tc>
          <w:tcPr>
            <w:tcW w:w="1447" w:type="dxa"/>
            <w:tcBorders>
              <w:top w:val="single" w:color="auto" w:sz="4" w:space="0"/>
              <w:left w:val="single" w:color="auto" w:sz="4" w:space="0"/>
              <w:bottom w:val="single" w:color="auto" w:sz="4" w:space="0"/>
              <w:right w:val="single" w:color="auto" w:sz="4" w:space="0"/>
            </w:tcBorders>
            <w:noWrap w:val="0"/>
            <w:vAlign w:val="center"/>
          </w:tcPr>
          <w:p w14:paraId="05755E6C">
            <w:pPr>
              <w:jc w:val="center"/>
              <w:rPr>
                <w:rFonts w:ascii="仿宋" w:hAnsi="仿宋" w:eastAsia="仿宋"/>
                <w:color w:val="auto"/>
                <w:kern w:val="2"/>
                <w:sz w:val="28"/>
                <w:szCs w:val="28"/>
              </w:rPr>
            </w:pPr>
            <w:r>
              <w:rPr>
                <w:rFonts w:hint="eastAsia"/>
                <w:color w:val="auto"/>
                <w:kern w:val="2"/>
                <w:sz w:val="28"/>
                <w:szCs w:val="28"/>
                <w:lang w:val="en-US" w:eastAsia="zh-CN"/>
              </w:rPr>
              <w:t>*</w:t>
            </w:r>
            <w:r>
              <w:rPr>
                <w:rFonts w:hint="eastAsia" w:ascii="仿宋" w:hAnsi="仿宋" w:eastAsia="仿宋"/>
                <w:color w:val="auto"/>
                <w:kern w:val="2"/>
                <w:sz w:val="28"/>
                <w:szCs w:val="28"/>
              </w:rPr>
              <w:t>手 机</w:t>
            </w:r>
          </w:p>
        </w:tc>
        <w:tc>
          <w:tcPr>
            <w:tcW w:w="2605" w:type="dxa"/>
            <w:tcBorders>
              <w:top w:val="single" w:color="auto" w:sz="4" w:space="0"/>
              <w:left w:val="single" w:color="auto" w:sz="4" w:space="0"/>
              <w:bottom w:val="single" w:color="auto" w:sz="4" w:space="0"/>
              <w:right w:val="single" w:color="auto" w:sz="4" w:space="0"/>
            </w:tcBorders>
            <w:noWrap w:val="0"/>
            <w:vAlign w:val="top"/>
          </w:tcPr>
          <w:p w14:paraId="79394D50">
            <w:pPr>
              <w:jc w:val="center"/>
              <w:rPr>
                <w:rFonts w:ascii="仿宋" w:hAnsi="仿宋" w:eastAsia="仿宋"/>
                <w:color w:val="auto"/>
                <w:kern w:val="2"/>
                <w:sz w:val="28"/>
                <w:szCs w:val="28"/>
              </w:rPr>
            </w:pPr>
          </w:p>
        </w:tc>
      </w:tr>
      <w:tr w14:paraId="76A06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trPr>
        <w:tc>
          <w:tcPr>
            <w:tcW w:w="3437" w:type="dxa"/>
            <w:tcBorders>
              <w:top w:val="single" w:color="auto" w:sz="4" w:space="0"/>
              <w:left w:val="single" w:color="auto" w:sz="4" w:space="0"/>
              <w:bottom w:val="single" w:color="auto" w:sz="4" w:space="0"/>
              <w:right w:val="single" w:color="auto" w:sz="4" w:space="0"/>
            </w:tcBorders>
            <w:noWrap w:val="0"/>
            <w:vAlign w:val="center"/>
          </w:tcPr>
          <w:p w14:paraId="671671E4">
            <w:pPr>
              <w:jc w:val="center"/>
              <w:rPr>
                <w:rFonts w:ascii="仿宋" w:hAnsi="仿宋" w:eastAsia="仿宋"/>
                <w:color w:val="auto"/>
                <w:kern w:val="2"/>
                <w:sz w:val="28"/>
                <w:szCs w:val="28"/>
              </w:rPr>
            </w:pPr>
            <w:r>
              <w:rPr>
                <w:rFonts w:hint="eastAsia" w:ascii="仿宋" w:hAnsi="仿宋" w:eastAsia="仿宋"/>
                <w:color w:val="auto"/>
                <w:kern w:val="2"/>
                <w:sz w:val="28"/>
                <w:szCs w:val="28"/>
              </w:rPr>
              <w:t>邮     箱</w:t>
            </w:r>
          </w:p>
        </w:tc>
        <w:tc>
          <w:tcPr>
            <w:tcW w:w="6042" w:type="dxa"/>
            <w:gridSpan w:val="3"/>
            <w:tcBorders>
              <w:top w:val="single" w:color="auto" w:sz="4" w:space="0"/>
              <w:left w:val="single" w:color="auto" w:sz="4" w:space="0"/>
              <w:bottom w:val="single" w:color="auto" w:sz="4" w:space="0"/>
              <w:right w:val="single" w:color="auto" w:sz="4" w:space="0"/>
            </w:tcBorders>
            <w:noWrap w:val="0"/>
            <w:vAlign w:val="top"/>
          </w:tcPr>
          <w:p w14:paraId="7F62C4E7">
            <w:pPr>
              <w:jc w:val="center"/>
              <w:rPr>
                <w:rFonts w:ascii="仿宋" w:hAnsi="仿宋" w:eastAsia="仿宋"/>
                <w:color w:val="auto"/>
                <w:kern w:val="2"/>
                <w:sz w:val="28"/>
                <w:szCs w:val="28"/>
              </w:rPr>
            </w:pPr>
          </w:p>
        </w:tc>
      </w:tr>
      <w:tr w14:paraId="09D2F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trPr>
        <w:tc>
          <w:tcPr>
            <w:tcW w:w="3437" w:type="dxa"/>
            <w:tcBorders>
              <w:top w:val="single" w:color="auto" w:sz="4" w:space="0"/>
              <w:left w:val="single" w:color="auto" w:sz="4" w:space="0"/>
              <w:bottom w:val="single" w:color="auto" w:sz="4" w:space="0"/>
              <w:right w:val="single" w:color="auto" w:sz="4" w:space="0"/>
            </w:tcBorders>
            <w:noWrap w:val="0"/>
            <w:vAlign w:val="center"/>
          </w:tcPr>
          <w:p w14:paraId="660B1C73">
            <w:pPr>
              <w:jc w:val="center"/>
              <w:rPr>
                <w:rFonts w:ascii="仿宋" w:hAnsi="仿宋" w:eastAsia="仿宋"/>
                <w:color w:val="auto"/>
                <w:kern w:val="2"/>
                <w:sz w:val="28"/>
                <w:szCs w:val="28"/>
              </w:rPr>
            </w:pPr>
            <w:r>
              <w:rPr>
                <w:rFonts w:hint="eastAsia" w:ascii="仿宋" w:hAnsi="仿宋" w:eastAsia="仿宋"/>
                <w:color w:val="auto"/>
                <w:kern w:val="2"/>
                <w:sz w:val="28"/>
                <w:szCs w:val="28"/>
              </w:rPr>
              <w:t>备     注</w:t>
            </w:r>
          </w:p>
        </w:tc>
        <w:tc>
          <w:tcPr>
            <w:tcW w:w="6042" w:type="dxa"/>
            <w:gridSpan w:val="3"/>
            <w:tcBorders>
              <w:top w:val="single" w:color="auto" w:sz="4" w:space="0"/>
              <w:left w:val="single" w:color="auto" w:sz="4" w:space="0"/>
              <w:bottom w:val="single" w:color="auto" w:sz="4" w:space="0"/>
              <w:right w:val="single" w:color="auto" w:sz="4" w:space="0"/>
            </w:tcBorders>
            <w:noWrap w:val="0"/>
            <w:vAlign w:val="top"/>
          </w:tcPr>
          <w:p w14:paraId="7EFE031A">
            <w:pPr>
              <w:rPr>
                <w:rFonts w:ascii="仿宋" w:hAnsi="仿宋" w:eastAsia="仿宋"/>
                <w:color w:val="auto"/>
                <w:kern w:val="2"/>
                <w:sz w:val="28"/>
                <w:szCs w:val="28"/>
              </w:rPr>
            </w:pPr>
          </w:p>
        </w:tc>
      </w:tr>
    </w:tbl>
    <w:p w14:paraId="28E9893F">
      <w:pPr>
        <w:jc w:val="both"/>
        <w:rPr>
          <w:rFonts w:ascii="Times New Roman"/>
          <w:color w:val="auto"/>
          <w:kern w:val="2"/>
          <w:sz w:val="21"/>
        </w:rPr>
      </w:pPr>
    </w:p>
    <w:p w14:paraId="6743D11D">
      <w:pPr>
        <w:spacing w:line="360" w:lineRule="auto"/>
        <w:rPr>
          <w:rFonts w:hint="default" w:ascii="仿宋" w:hAnsi="仿宋" w:eastAsia="仿宋" w:cs="Times New Roman"/>
          <w:color w:val="auto"/>
          <w:sz w:val="24"/>
          <w:szCs w:val="24"/>
          <w:lang w:val="en-US" w:eastAsia="zh-CN"/>
        </w:rPr>
      </w:pPr>
      <w:r>
        <w:rPr>
          <w:rFonts w:hint="eastAsia" w:ascii="仿宋" w:hAnsi="仿宋" w:eastAsia="仿宋" w:cs="Times New Roman"/>
          <w:color w:val="auto"/>
          <w:sz w:val="24"/>
          <w:szCs w:val="24"/>
        </w:rPr>
        <w:t xml:space="preserve">    </w:t>
      </w:r>
      <w:r>
        <w:rPr>
          <w:rFonts w:hint="eastAsia" w:ascii="仿宋" w:hAnsi="仿宋" w:eastAsia="仿宋" w:cs="Times New Roman"/>
          <w:color w:val="auto"/>
          <w:sz w:val="24"/>
          <w:szCs w:val="24"/>
          <w:lang w:eastAsia="zh-CN"/>
        </w:rPr>
        <w:t>采购单位联系人：</w:t>
      </w:r>
      <w:r>
        <w:rPr>
          <w:rFonts w:hint="eastAsia" w:ascii="仿宋" w:hAnsi="仿宋" w:eastAsia="仿宋" w:cs="Times New Roman"/>
          <w:color w:val="auto"/>
          <w:sz w:val="24"/>
          <w:szCs w:val="24"/>
          <w:lang w:val="en-US" w:eastAsia="zh-CN"/>
        </w:rPr>
        <w:t>潘老师、周</w:t>
      </w:r>
      <w:r>
        <w:rPr>
          <w:rFonts w:hint="eastAsia" w:ascii="仿宋" w:hAnsi="仿宋" w:eastAsia="仿宋" w:cs="Times New Roman"/>
          <w:color w:val="auto"/>
          <w:sz w:val="24"/>
          <w:szCs w:val="24"/>
          <w:lang w:eastAsia="zh-CN"/>
        </w:rPr>
        <w:t>老师</w:t>
      </w:r>
      <w:r>
        <w:rPr>
          <w:rFonts w:hint="eastAsia" w:ascii="仿宋" w:hAnsi="仿宋" w:eastAsia="仿宋" w:cs="Times New Roman"/>
          <w:color w:val="auto"/>
          <w:sz w:val="24"/>
          <w:szCs w:val="24"/>
          <w:lang w:val="en-US" w:eastAsia="zh-CN"/>
        </w:rPr>
        <w:t xml:space="preserve"> 028-82526150</w:t>
      </w:r>
      <w:r>
        <w:rPr>
          <w:rFonts w:hint="eastAsia" w:ascii="仿宋" w:hAnsi="仿宋" w:eastAsia="仿宋" w:cs="Times New Roman"/>
          <w:color w:val="auto"/>
          <w:sz w:val="24"/>
          <w:szCs w:val="24"/>
          <w:lang w:eastAsia="zh-CN"/>
        </w:rPr>
        <w:t>，</w:t>
      </w:r>
      <w:r>
        <w:rPr>
          <w:rFonts w:hint="eastAsia" w:ascii="仿宋" w:hAnsi="仿宋" w:eastAsia="仿宋" w:cs="Times New Roman"/>
          <w:color w:val="auto"/>
          <w:sz w:val="24"/>
          <w:szCs w:val="24"/>
          <w:lang w:val="en-US" w:eastAsia="zh-CN"/>
        </w:rPr>
        <w:t>邮箱845865477@qq.com</w:t>
      </w:r>
    </w:p>
    <w:p w14:paraId="3E4B405A">
      <w:pPr>
        <w:spacing w:line="360" w:lineRule="auto"/>
        <w:rPr>
          <w:rFonts w:hint="eastAsia" w:ascii="仿宋" w:hAnsi="仿宋" w:eastAsia="仿宋" w:cs="Times New Roman"/>
          <w:color w:val="auto"/>
          <w:sz w:val="24"/>
          <w:szCs w:val="24"/>
          <w:highlight w:val="none"/>
          <w:lang w:val="en-US" w:eastAsia="zh-CN"/>
        </w:rPr>
      </w:pPr>
      <w:r>
        <w:rPr>
          <w:rFonts w:hint="eastAsia" w:ascii="仿宋" w:hAnsi="仿宋" w:eastAsia="仿宋" w:cs="Times New Roman"/>
          <w:color w:val="auto"/>
          <w:sz w:val="24"/>
          <w:szCs w:val="24"/>
          <w:lang w:val="en-US" w:eastAsia="zh-CN"/>
        </w:rPr>
        <w:t>注:提供（1）报名登记表扫描件（2）投标单位营业执照正、副本复印件（3）经办人身份证复印件（以上三条均需加盖供应商公章，提供扫描至以上邮箱）（4）</w:t>
      </w:r>
      <w:r>
        <w:rPr>
          <w:rFonts w:hint="eastAsia" w:ascii="仿宋" w:hAnsi="仿宋" w:eastAsia="仿宋" w:cs="Times New Roman"/>
          <w:color w:val="auto"/>
          <w:sz w:val="24"/>
          <w:szCs w:val="24"/>
          <w:highlight w:val="none"/>
          <w:lang w:val="en-US" w:eastAsia="zh-CN"/>
        </w:rPr>
        <w:t>递交响应文件时，把以上3项资料盖章资料一并递交，此3项资料无需密封。</w:t>
      </w:r>
    </w:p>
    <w:p w14:paraId="25C40584">
      <w:pPr>
        <w:spacing w:line="360" w:lineRule="auto"/>
        <w:rPr>
          <w:color w:val="auto"/>
        </w:rPr>
      </w:pPr>
      <w:r>
        <w:rPr>
          <w:rFonts w:hint="eastAsia" w:ascii="仿宋" w:hAnsi="仿宋" w:eastAsia="仿宋" w:cs="Times New Roman"/>
          <w:color w:val="auto"/>
          <w:sz w:val="24"/>
          <w:szCs w:val="24"/>
          <w:lang w:eastAsia="zh-CN"/>
        </w:rPr>
        <w:t>投标单位购买招标文件时请如实认真填写报名登记表和投标人信息；若因投标单位提供的错误或不实信息，对其投标事宜造成影响的，由其投标单位自行承担所有责任。</w:t>
      </w:r>
    </w:p>
    <w:sectPr>
      <w:footerReference r:id="rId3" w:type="default"/>
      <w:pgSz w:w="11906" w:h="16838"/>
      <w:pgMar w:top="1587" w:right="1587" w:bottom="1587"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DCDA3A4-4601-47F6-910F-CADEF5442FE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68E504B-BE2A-4EB1-A4DC-B652FCD1B59C}"/>
  </w:font>
  <w:font w:name="Calibri Light">
    <w:panose1 w:val="020F0302020204030204"/>
    <w:charset w:val="00"/>
    <w:family w:val="auto"/>
    <w:pitch w:val="default"/>
    <w:sig w:usb0="E4002EFF" w:usb1="C0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embedRegular r:id="rId3" w:fontKey="{564FE2DC-37C7-4404-A8F4-8144C32F21A2}"/>
  </w:font>
  <w:font w:name="仿宋">
    <w:panose1 w:val="02010609060101010101"/>
    <w:charset w:val="86"/>
    <w:family w:val="auto"/>
    <w:pitch w:val="default"/>
    <w:sig w:usb0="800002BF" w:usb1="38CF7CFA" w:usb2="00000016" w:usb3="00000000" w:csb0="00040001" w:csb1="00000000"/>
    <w:embedRegular r:id="rId4" w:fontKey="{C76BBC02-6DAC-4AE7-A480-134EAC510B9F}"/>
  </w:font>
  <w:font w:name="仿宋_GB2312">
    <w:altName w:val="仿宋"/>
    <w:panose1 w:val="02010609030101010101"/>
    <w:charset w:val="86"/>
    <w:family w:val="modern"/>
    <w:pitch w:val="default"/>
    <w:sig w:usb0="00000000" w:usb1="00000000" w:usb2="00000000" w:usb3="00000000" w:csb0="00040000" w:csb1="00000000"/>
    <w:embedRegular r:id="rId5" w:fontKey="{C09211D8-2C8A-4F18-8C91-3841A22AFA4D}"/>
  </w:font>
  <w:font w:name="方正仿宋_GB18030">
    <w:panose1 w:val="02000000000000000000"/>
    <w:charset w:val="86"/>
    <w:family w:val="auto"/>
    <w:pitch w:val="default"/>
    <w:sig w:usb0="00000001" w:usb1="08000000" w:usb2="00000000" w:usb3="00000000" w:csb0="00040000" w:csb1="00000000"/>
    <w:embedRegular r:id="rId6" w:fontKey="{B7D147C0-CDCC-4731-9AF6-6C7ECBC979E0}"/>
  </w:font>
  <w:font w:name="华文中宋">
    <w:panose1 w:val="02010600040101010101"/>
    <w:charset w:val="86"/>
    <w:family w:val="auto"/>
    <w:pitch w:val="default"/>
    <w:sig w:usb0="00000287" w:usb1="080F0000" w:usb2="00000000" w:usb3="00000000" w:csb0="0004009F" w:csb1="DFD70000"/>
    <w:embedRegular r:id="rId7" w:fontKey="{2B320705-5BAA-4375-903C-7514CC7A455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2EC3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019865">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F019865">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1888BF"/>
    <w:multiLevelType w:val="singleLevel"/>
    <w:tmpl w:val="8A1888BF"/>
    <w:lvl w:ilvl="0" w:tentative="0">
      <w:start w:val="5"/>
      <w:numFmt w:val="decimal"/>
      <w:suff w:val="nothing"/>
      <w:lvlText w:val="%1、"/>
      <w:lvlJc w:val="left"/>
    </w:lvl>
  </w:abstractNum>
  <w:abstractNum w:abstractNumId="1">
    <w:nsid w:val="A17E4A69"/>
    <w:multiLevelType w:val="singleLevel"/>
    <w:tmpl w:val="A17E4A69"/>
    <w:lvl w:ilvl="0" w:tentative="0">
      <w:start w:val="2"/>
      <w:numFmt w:val="decimal"/>
      <w:suff w:val="nothing"/>
      <w:lvlText w:val="%1、"/>
      <w:lvlJc w:val="left"/>
    </w:lvl>
  </w:abstractNum>
  <w:abstractNum w:abstractNumId="2">
    <w:nsid w:val="B04D8E0A"/>
    <w:multiLevelType w:val="multilevel"/>
    <w:tmpl w:val="B04D8E0A"/>
    <w:lvl w:ilvl="0" w:tentative="0">
      <w:start w:val="1"/>
      <w:numFmt w:val="chineseCounting"/>
      <w:suff w:val="nothing"/>
      <w:lvlText w:val="第%1章 "/>
      <w:lvlJc w:val="left"/>
      <w:pPr>
        <w:tabs>
          <w:tab w:val="left" w:pos="0"/>
        </w:tabs>
        <w:ind w:left="0" w:firstLine="0"/>
      </w:pPr>
      <w:rPr>
        <w:rFonts w:hint="eastAsia" w:ascii="宋体" w:hAnsi="宋体" w:eastAsia="宋体" w:cs="宋体"/>
      </w:rPr>
    </w:lvl>
    <w:lvl w:ilvl="1" w:tentative="0">
      <w:start w:val="1"/>
      <w:numFmt w:val="chineseCounting"/>
      <w:suff w:val="nothing"/>
      <w:lvlText w:val="%2、"/>
      <w:lvlJc w:val="left"/>
      <w:pPr>
        <w:ind w:left="0" w:firstLine="0"/>
      </w:pPr>
      <w:rPr>
        <w:rFonts w:hint="eastAsia" w:ascii="宋体" w:hAnsi="宋体" w:eastAsia="宋体" w:cs="宋体"/>
      </w:rPr>
    </w:lvl>
    <w:lvl w:ilvl="2" w:tentative="0">
      <w:start w:val="1"/>
      <w:numFmt w:val="chineseCounting"/>
      <w:suff w:val="nothing"/>
      <w:lvlText w:val="(%3)"/>
      <w:lvlJc w:val="left"/>
      <w:pPr>
        <w:tabs>
          <w:tab w:val="left" w:pos="0"/>
        </w:tabs>
        <w:ind w:left="0" w:firstLine="0"/>
      </w:pPr>
      <w:rPr>
        <w:rFonts w:hint="eastAsia" w:ascii="宋体" w:hAnsi="宋体" w:eastAsia="宋体" w:cs="宋体"/>
      </w:rPr>
    </w:lvl>
    <w:lvl w:ilvl="3" w:tentative="0">
      <w:start w:val="1"/>
      <w:numFmt w:val="decimal"/>
      <w:pStyle w:val="23"/>
      <w:suff w:val="nothing"/>
      <w:lvlText w:val="%4."/>
      <w:lvlJc w:val="left"/>
      <w:pPr>
        <w:tabs>
          <w:tab w:val="left" w:pos="709"/>
        </w:tabs>
        <w:ind w:left="709" w:firstLine="0"/>
      </w:pPr>
      <w:rPr>
        <w:rFonts w:hint="eastAsia" w:ascii="宋体" w:hAnsi="宋体" w:eastAsia="宋体" w:cs="宋体"/>
      </w:rPr>
    </w:lvl>
    <w:lvl w:ilvl="4" w:tentative="0">
      <w:start w:val="1"/>
      <w:numFmt w:val="decimal"/>
      <w:suff w:val="nothing"/>
      <w:lvlText w:val="%4.%5"/>
      <w:lvlJc w:val="left"/>
      <w:pPr>
        <w:ind w:left="0" w:firstLine="0"/>
      </w:pPr>
      <w:rPr>
        <w:rFonts w:hint="eastAsia" w:ascii="宋体" w:hAnsi="宋体" w:eastAsia="宋体" w:cs="宋体"/>
      </w:rPr>
    </w:lvl>
    <w:lvl w:ilvl="5" w:tentative="0">
      <w:start w:val="1"/>
      <w:numFmt w:val="decimal"/>
      <w:suff w:val="nothing"/>
      <w:lvlText w:val="(%6)"/>
      <w:lvlJc w:val="left"/>
      <w:pPr>
        <w:ind w:left="0" w:firstLine="0"/>
      </w:pPr>
      <w:rPr>
        <w:rFonts w:hint="eastAsia" w:ascii="宋体" w:hAnsi="宋体" w:eastAsia="宋体" w:cs="宋体"/>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3">
    <w:nsid w:val="E56B2D59"/>
    <w:multiLevelType w:val="singleLevel"/>
    <w:tmpl w:val="E56B2D59"/>
    <w:lvl w:ilvl="0" w:tentative="0">
      <w:start w:val="1"/>
      <w:numFmt w:val="chineseCounting"/>
      <w:suff w:val="nothing"/>
      <w:lvlText w:val="%1、"/>
      <w:lvlJc w:val="left"/>
      <w:rPr>
        <w:rFonts w:hint="eastAsia"/>
      </w:rPr>
    </w:lvl>
  </w:abstractNum>
  <w:abstractNum w:abstractNumId="4">
    <w:nsid w:val="E5A75D14"/>
    <w:multiLevelType w:val="singleLevel"/>
    <w:tmpl w:val="E5A75D14"/>
    <w:lvl w:ilvl="0" w:tentative="0">
      <w:start w:val="1"/>
      <w:numFmt w:val="decimal"/>
      <w:suff w:val="nothing"/>
      <w:lvlText w:val="%1、"/>
      <w:lvlJc w:val="left"/>
    </w:lvl>
  </w:abstractNum>
  <w:abstractNum w:abstractNumId="5">
    <w:nsid w:val="6700C131"/>
    <w:multiLevelType w:val="singleLevel"/>
    <w:tmpl w:val="6700C131"/>
    <w:lvl w:ilvl="0" w:tentative="0">
      <w:start w:val="5"/>
      <w:numFmt w:val="chineseCounting"/>
      <w:suff w:val="nothing"/>
      <w:lvlText w:val="%1、"/>
      <w:lvlJc w:val="left"/>
      <w:rPr>
        <w:rFonts w:hint="eastAsia"/>
      </w:rPr>
    </w:lvl>
  </w:abstractNum>
  <w:num w:numId="1">
    <w:abstractNumId w:val="2"/>
  </w:num>
  <w:num w:numId="2">
    <w:abstractNumId w:val="3"/>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F6C6F"/>
    <w:rsid w:val="009738DD"/>
    <w:rsid w:val="012A2403"/>
    <w:rsid w:val="03147D24"/>
    <w:rsid w:val="04E86B91"/>
    <w:rsid w:val="056401E1"/>
    <w:rsid w:val="05B77E21"/>
    <w:rsid w:val="06140401"/>
    <w:rsid w:val="06803F99"/>
    <w:rsid w:val="08A45E49"/>
    <w:rsid w:val="097B39EB"/>
    <w:rsid w:val="09E700B5"/>
    <w:rsid w:val="0A9B3267"/>
    <w:rsid w:val="0B5D63F7"/>
    <w:rsid w:val="0CD85E9D"/>
    <w:rsid w:val="0DEA754E"/>
    <w:rsid w:val="0F9A2AD9"/>
    <w:rsid w:val="106B770F"/>
    <w:rsid w:val="10B14879"/>
    <w:rsid w:val="11213D01"/>
    <w:rsid w:val="11A5014C"/>
    <w:rsid w:val="12042B30"/>
    <w:rsid w:val="126F67ED"/>
    <w:rsid w:val="140C5B60"/>
    <w:rsid w:val="14382F65"/>
    <w:rsid w:val="14574547"/>
    <w:rsid w:val="14C25B10"/>
    <w:rsid w:val="14F95BEF"/>
    <w:rsid w:val="18B340A6"/>
    <w:rsid w:val="190653E0"/>
    <w:rsid w:val="19842E1A"/>
    <w:rsid w:val="1A0E09F0"/>
    <w:rsid w:val="1A310B82"/>
    <w:rsid w:val="1A383CBF"/>
    <w:rsid w:val="1B7C3AD4"/>
    <w:rsid w:val="1BD75F80"/>
    <w:rsid w:val="1C3F50B7"/>
    <w:rsid w:val="1D610ED9"/>
    <w:rsid w:val="1ED55F80"/>
    <w:rsid w:val="1EEB62DA"/>
    <w:rsid w:val="206C49FE"/>
    <w:rsid w:val="216B5041"/>
    <w:rsid w:val="24036A14"/>
    <w:rsid w:val="259A0116"/>
    <w:rsid w:val="25B9673E"/>
    <w:rsid w:val="2A1F4553"/>
    <w:rsid w:val="2A4C77FE"/>
    <w:rsid w:val="2BBE3953"/>
    <w:rsid w:val="2C414E70"/>
    <w:rsid w:val="2C4A4172"/>
    <w:rsid w:val="2C731FE5"/>
    <w:rsid w:val="2DCE7F27"/>
    <w:rsid w:val="31D8451F"/>
    <w:rsid w:val="321876B3"/>
    <w:rsid w:val="32DF1FDC"/>
    <w:rsid w:val="32FA3DAF"/>
    <w:rsid w:val="341449FD"/>
    <w:rsid w:val="346408E5"/>
    <w:rsid w:val="36A24542"/>
    <w:rsid w:val="3C94492D"/>
    <w:rsid w:val="3CE235AE"/>
    <w:rsid w:val="3E9055C8"/>
    <w:rsid w:val="40980764"/>
    <w:rsid w:val="409D1C34"/>
    <w:rsid w:val="417814E9"/>
    <w:rsid w:val="41C75D8A"/>
    <w:rsid w:val="420175C2"/>
    <w:rsid w:val="440B7D6A"/>
    <w:rsid w:val="468E0480"/>
    <w:rsid w:val="47A3117B"/>
    <w:rsid w:val="47AE4398"/>
    <w:rsid w:val="4A0855A2"/>
    <w:rsid w:val="4A535616"/>
    <w:rsid w:val="4BD01879"/>
    <w:rsid w:val="4BD034A7"/>
    <w:rsid w:val="4D671A28"/>
    <w:rsid w:val="4F2627F5"/>
    <w:rsid w:val="4FC9093A"/>
    <w:rsid w:val="4FEB03EE"/>
    <w:rsid w:val="50992D05"/>
    <w:rsid w:val="529102F8"/>
    <w:rsid w:val="530C0109"/>
    <w:rsid w:val="533F3632"/>
    <w:rsid w:val="53857839"/>
    <w:rsid w:val="53C84569"/>
    <w:rsid w:val="548B440F"/>
    <w:rsid w:val="54A35606"/>
    <w:rsid w:val="54DC599C"/>
    <w:rsid w:val="54DE6EBF"/>
    <w:rsid w:val="552C4C9E"/>
    <w:rsid w:val="55E61721"/>
    <w:rsid w:val="56226C88"/>
    <w:rsid w:val="56E26048"/>
    <w:rsid w:val="594D4AA0"/>
    <w:rsid w:val="59CC4666"/>
    <w:rsid w:val="60E70C20"/>
    <w:rsid w:val="63D25003"/>
    <w:rsid w:val="64C86FBA"/>
    <w:rsid w:val="66D82E85"/>
    <w:rsid w:val="679C6C08"/>
    <w:rsid w:val="68796990"/>
    <w:rsid w:val="69245774"/>
    <w:rsid w:val="692F0EEA"/>
    <w:rsid w:val="69FA5E67"/>
    <w:rsid w:val="6A2C3362"/>
    <w:rsid w:val="6A961D0C"/>
    <w:rsid w:val="6B171FE9"/>
    <w:rsid w:val="6C792A1B"/>
    <w:rsid w:val="6D8871EF"/>
    <w:rsid w:val="6D9B3ACA"/>
    <w:rsid w:val="6E493DC7"/>
    <w:rsid w:val="717645B6"/>
    <w:rsid w:val="71856EF9"/>
    <w:rsid w:val="72EA3CE1"/>
    <w:rsid w:val="738A3634"/>
    <w:rsid w:val="74923C14"/>
    <w:rsid w:val="74C05C36"/>
    <w:rsid w:val="75475CD9"/>
    <w:rsid w:val="759C7DD3"/>
    <w:rsid w:val="761E6201"/>
    <w:rsid w:val="779A47E6"/>
    <w:rsid w:val="786F7A21"/>
    <w:rsid w:val="78CF6711"/>
    <w:rsid w:val="7A5358BD"/>
    <w:rsid w:val="7AEA1B74"/>
    <w:rsid w:val="7B1B5C3E"/>
    <w:rsid w:val="7C2330CA"/>
    <w:rsid w:val="7C4F2792"/>
    <w:rsid w:val="7C5739AD"/>
    <w:rsid w:val="7D72301E"/>
    <w:rsid w:val="7EDE3F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qFormat/>
    <w:uiPriority w:val="0"/>
    <w:pPr>
      <w:keepNext/>
      <w:keepLines/>
      <w:spacing w:before="340" w:after="330" w:line="578" w:lineRule="auto"/>
      <w:outlineLvl w:val="0"/>
    </w:pPr>
    <w:rPr>
      <w:rFonts w:ascii="Times New Roman" w:hAnsi="Times New Roman"/>
      <w:b/>
      <w:bCs/>
      <w:kern w:val="44"/>
      <w:sz w:val="44"/>
      <w:szCs w:val="44"/>
    </w:rPr>
  </w:style>
  <w:style w:type="paragraph" w:styleId="4">
    <w:name w:val="heading 2"/>
    <w:basedOn w:val="1"/>
    <w:next w:val="1"/>
    <w:semiHidden/>
    <w:unhideWhenUsed/>
    <w:qFormat/>
    <w:uiPriority w:val="9"/>
    <w:pPr>
      <w:keepNext/>
      <w:keepLines/>
      <w:spacing w:before="160" w:after="80"/>
      <w:outlineLvl w:val="1"/>
    </w:pPr>
    <w:rPr>
      <w:rFonts w:asciiTheme="majorHAnsi" w:hAnsiTheme="majorHAnsi" w:eastAsiaTheme="majorEastAsia" w:cstheme="majorBidi"/>
      <w:color w:val="2E54A1" w:themeColor="accent1" w:themeShade="BF"/>
      <w:sz w:val="40"/>
      <w:szCs w:val="40"/>
    </w:rPr>
  </w:style>
  <w:style w:type="paragraph" w:styleId="5">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6">
    <w:name w:val="Body Text 3"/>
    <w:basedOn w:val="1"/>
    <w:unhideWhenUsed/>
    <w:qFormat/>
    <w:uiPriority w:val="99"/>
    <w:pPr>
      <w:jc w:val="center"/>
    </w:pPr>
    <w:rPr>
      <w:rFonts w:hint="eastAsia" w:hAnsi="Symbol"/>
      <w:sz w:val="10"/>
      <w:szCs w:val="24"/>
    </w:rPr>
  </w:style>
  <w:style w:type="paragraph" w:styleId="7">
    <w:name w:val="Body Text"/>
    <w:basedOn w:val="1"/>
    <w:next w:val="1"/>
    <w:qFormat/>
    <w:uiPriority w:val="99"/>
    <w:pPr>
      <w:spacing w:after="120"/>
    </w:pPr>
    <w:rPr>
      <w:rFonts w:ascii="宋体" w:hAnsi="Times New Roman"/>
      <w:kern w:val="0"/>
      <w:sz w:val="34"/>
      <w:szCs w:val="20"/>
    </w:rPr>
  </w:style>
  <w:style w:type="paragraph" w:styleId="8">
    <w:name w:val="Body Text Indent"/>
    <w:basedOn w:val="1"/>
    <w:qFormat/>
    <w:uiPriority w:val="0"/>
    <w:pPr>
      <w:spacing w:line="500" w:lineRule="exact"/>
      <w:ind w:left="832" w:leftChars="832" w:firstLine="433" w:firstLineChars="196"/>
    </w:pPr>
    <w:rPr>
      <w:sz w:val="24"/>
    </w:rPr>
  </w:style>
  <w:style w:type="paragraph" w:styleId="9">
    <w:name w:val="Plain Text"/>
    <w:basedOn w:val="1"/>
    <w:unhideWhenUsed/>
    <w:qFormat/>
    <w:uiPriority w:val="99"/>
    <w:pPr>
      <w:widowControl w:val="0"/>
      <w:autoSpaceDE w:val="0"/>
      <w:autoSpaceDN w:val="0"/>
      <w:adjustRightInd w:val="0"/>
      <w:jc w:val="both"/>
    </w:pPr>
    <w:rPr>
      <w:rFonts w:hAnsi="Courier New"/>
      <w:sz w:val="20"/>
      <w:szCs w:val="21"/>
    </w:rPr>
  </w:style>
  <w:style w:type="paragraph" w:styleId="10">
    <w:name w:val="Date"/>
    <w:basedOn w:val="1"/>
    <w:next w:val="1"/>
    <w:qFormat/>
    <w:uiPriority w:val="0"/>
    <w:rPr>
      <w:rFonts w:eastAsia="黑体"/>
      <w:sz w:val="36"/>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4">
    <w:name w:val="Body Text First Indent"/>
    <w:basedOn w:val="7"/>
    <w:next w:val="1"/>
    <w:qFormat/>
    <w:uiPriority w:val="0"/>
    <w:pPr>
      <w:widowControl w:val="0"/>
      <w:spacing w:after="120" w:afterLines="0" w:line="240" w:lineRule="auto"/>
      <w:ind w:firstLine="420" w:firstLineChars="100"/>
    </w:pPr>
  </w:style>
  <w:style w:type="paragraph" w:styleId="15">
    <w:name w:val="Body Text First Indent 2"/>
    <w:basedOn w:val="8"/>
    <w:qFormat/>
    <w:uiPriority w:val="0"/>
    <w:pPr>
      <w:spacing w:after="120" w:line="240" w:lineRule="auto"/>
      <w:ind w:left="420" w:leftChars="200" w:firstLine="420"/>
    </w:pPr>
    <w:rPr>
      <w:sz w:val="21"/>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paragraph" w:customStyle="1" w:styleId="20">
    <w:name w:val="正文1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21">
    <w:name w:val="List Paragraph"/>
    <w:basedOn w:val="1"/>
    <w:qFormat/>
    <w:uiPriority w:val="34"/>
    <w:pPr>
      <w:ind w:firstLine="420" w:firstLineChars="200"/>
    </w:pPr>
    <w:rPr>
      <w:rFonts w:ascii="Times New Roman"/>
      <w:szCs w:val="22"/>
    </w:rPr>
  </w:style>
  <w:style w:type="paragraph" w:customStyle="1" w:styleId="22">
    <w:name w:val="02、首行缩进2字符正文"/>
    <w:basedOn w:val="1"/>
    <w:qFormat/>
    <w:uiPriority w:val="0"/>
    <w:pPr>
      <w:tabs>
        <w:tab w:val="left" w:pos="0"/>
      </w:tabs>
      <w:wordWrap w:val="0"/>
      <w:topLinePunct/>
      <w:ind w:firstLine="480" w:firstLineChars="200"/>
    </w:pPr>
  </w:style>
  <w:style w:type="paragraph" w:customStyle="1" w:styleId="23">
    <w:name w:val="17“1.”四级标题"/>
    <w:basedOn w:val="22"/>
    <w:qFormat/>
    <w:uiPriority w:val="0"/>
    <w:pPr>
      <w:numPr>
        <w:ilvl w:val="3"/>
        <w:numId w:val="1"/>
      </w:numPr>
      <w:ind w:firstLine="803"/>
    </w:pPr>
  </w:style>
  <w:style w:type="paragraph" w:customStyle="1" w:styleId="24">
    <w:name w:val="Table Text"/>
    <w:basedOn w:val="1"/>
    <w:semiHidden/>
    <w:qFormat/>
    <w:uiPriority w:val="0"/>
    <w:rPr>
      <w:rFonts w:ascii="宋体" w:hAnsi="宋体" w:eastAsia="宋体" w:cs="宋体"/>
      <w:sz w:val="24"/>
      <w:szCs w:val="24"/>
      <w:lang w:val="en-US" w:eastAsia="en-US" w:bidi="ar-SA"/>
    </w:rPr>
  </w:style>
  <w:style w:type="table" w:customStyle="1" w:styleId="2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1113</Words>
  <Characters>1189</Characters>
  <Lines>0</Lines>
  <Paragraphs>0</Paragraphs>
  <TotalTime>0</TotalTime>
  <ScaleCrop>false</ScaleCrop>
  <LinksUpToDate>false</LinksUpToDate>
  <CharactersWithSpaces>1203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ASUS</cp:lastModifiedBy>
  <cp:lastPrinted>2026-10-26T03:42:00Z</cp:lastPrinted>
  <dcterms:modified xsi:type="dcterms:W3CDTF">2026-10-26T03:45:31Z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eyJoZGlkIjoiNDE1ZTFlMjFjZDEzODY3NmE0ZDIwNjM3NWU4ZDkyNWQiLCJ1c2VySWQiOiIzMzA3NDM0MzYifQ==</vt:lpwstr>
  </property>
  <property fmtid="{D5CDD505-2E9C-101B-9397-08002B2CF9AE}" pid="4" name="ICV">
    <vt:lpwstr>D645DF6FA1E040E59BF740E68679B1AB_13</vt:lpwstr>
  </property>
</Properties>
</file>