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DBF874">
      <w:pPr>
        <w:pStyle w:val="7"/>
        <w:jc w:val="center"/>
        <w:rPr>
          <w:rFonts w:hint="default" w:ascii="方正小标宋简体" w:hAnsi="方正小标宋简体" w:eastAsia="宋体" w:cs="方正小标宋简体"/>
          <w:bCs/>
          <w:color w:val="auto"/>
          <w:sz w:val="44"/>
          <w:szCs w:val="44"/>
          <w:lang w:val="en-US" w:eastAsia="zh-CN"/>
        </w:rPr>
      </w:pPr>
      <w:r>
        <w:rPr>
          <w:rFonts w:hint="eastAsia" w:ascii="仿宋" w:hAnsi="仿宋" w:eastAsia="仿宋" w:cs="仿宋"/>
          <w:color w:val="auto"/>
          <w:kern w:val="2"/>
          <w:sz w:val="36"/>
          <w:szCs w:val="36"/>
          <w:lang w:val="en-US" w:eastAsia="zh-CN" w:bidi="ar-SA"/>
        </w:rPr>
        <w:t>成都市新津区中医医院日杂用品供应商配送服务采购项目询预算价公示</w:t>
      </w:r>
    </w:p>
    <w:p w14:paraId="3D73D342">
      <w:pPr>
        <w:spacing w:line="700" w:lineRule="exact"/>
        <w:jc w:val="both"/>
        <w:rPr>
          <w:rFonts w:hint="eastAsia" w:ascii="方正小标宋简体" w:hAnsi="方正小标宋简体" w:eastAsia="方正小标宋简体" w:cs="方正小标宋简体"/>
          <w:bCs/>
          <w:color w:val="auto"/>
          <w:sz w:val="44"/>
          <w:szCs w:val="44"/>
          <w:lang w:val="en-US" w:eastAsia="zh-CN"/>
        </w:rPr>
      </w:pPr>
    </w:p>
    <w:p w14:paraId="5EAD4A9D">
      <w:pPr>
        <w:spacing w:line="360" w:lineRule="auto"/>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各潜在供应商：</w:t>
      </w:r>
    </w:p>
    <w:p w14:paraId="3D58EF04">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根据医院业务需要，我院拟采购日杂用品配送服务项目。现将具体采购需求公告如下，各潜在供应商如有意向参与，请主动与我院联系，并在公示期内提供以下资料，以便初步甄选。</w:t>
      </w:r>
    </w:p>
    <w:p w14:paraId="640C3185">
      <w:pPr>
        <w:numPr>
          <w:ilvl w:val="0"/>
          <w:numId w:val="2"/>
        </w:numPr>
        <w:spacing w:line="560" w:lineRule="exact"/>
        <w:rPr>
          <w:rFonts w:hint="eastAsia" w:ascii="仿宋" w:hAnsi="仿宋" w:eastAsia="仿宋" w:cs="仿宋"/>
          <w:b/>
          <w:bCs/>
          <w:color w:val="auto"/>
          <w:sz w:val="32"/>
          <w:szCs w:val="32"/>
        </w:rPr>
      </w:pPr>
      <w:r>
        <w:rPr>
          <w:rFonts w:hint="eastAsia" w:ascii="宋体" w:hAnsi="宋体" w:eastAsia="宋体" w:cs="宋体"/>
          <w:b/>
          <w:bCs/>
          <w:color w:val="auto"/>
          <w:sz w:val="24"/>
          <w:szCs w:val="24"/>
          <w:highlight w:val="none"/>
        </w:rPr>
        <w:t>★</w:t>
      </w:r>
      <w:r>
        <w:rPr>
          <w:rFonts w:hint="eastAsia" w:ascii="仿宋" w:hAnsi="仿宋" w:eastAsia="仿宋" w:cs="仿宋"/>
          <w:b/>
          <w:bCs/>
          <w:color w:val="auto"/>
          <w:sz w:val="32"/>
          <w:szCs w:val="32"/>
        </w:rPr>
        <w:t>公司情况介绍：</w:t>
      </w:r>
    </w:p>
    <w:p w14:paraId="1550F1B8">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1、公司相关业务情况、业绩简介。</w:t>
      </w:r>
    </w:p>
    <w:p w14:paraId="017BA2A8">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2、公司营业执照复印件；公司法人身份证复印件，或授权委托书及授权委托人身份证复印件。</w:t>
      </w:r>
    </w:p>
    <w:p w14:paraId="6E202725">
      <w:pPr>
        <w:numPr>
          <w:ilvl w:val="0"/>
          <w:numId w:val="2"/>
        </w:numPr>
        <w:spacing w:line="56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报名要求：</w:t>
      </w:r>
    </w:p>
    <w:p w14:paraId="09EF76AE">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1、资料必须密封，现场递交成都市新津区中医医院采购部（医院行政办公区二楼）。</w:t>
      </w:r>
    </w:p>
    <w:p w14:paraId="6D45B460">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2、报价资料需按照医院要求格式报价。（附件2）</w:t>
      </w:r>
    </w:p>
    <w:p w14:paraId="0EDEDEDA">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3、提供电子版报价资料和相关服务方案简介资料，可优化和细化功能参数，以便医院甄选使用（</w:t>
      </w:r>
      <w:r>
        <w:rPr>
          <w:rFonts w:hint="eastAsia" w:ascii="仿宋" w:hAnsi="仿宋" w:eastAsia="仿宋" w:cs="仿宋"/>
          <w:b/>
          <w:bCs/>
          <w:color w:val="FF0000"/>
          <w:sz w:val="28"/>
          <w:szCs w:val="28"/>
        </w:rPr>
        <w:t>本项目</w:t>
      </w:r>
      <w:r>
        <w:rPr>
          <w:rFonts w:hint="eastAsia" w:ascii="仿宋" w:hAnsi="仿宋" w:eastAsia="仿宋" w:cs="仿宋"/>
          <w:b/>
          <w:bCs/>
          <w:color w:val="FF0000"/>
          <w:sz w:val="28"/>
          <w:szCs w:val="28"/>
          <w:lang w:val="en-US" w:eastAsia="zh-CN"/>
        </w:rPr>
        <w:t>须Excel可编辑</w:t>
      </w:r>
      <w:r>
        <w:rPr>
          <w:rFonts w:hint="eastAsia" w:ascii="仿宋" w:hAnsi="仿宋" w:eastAsia="仿宋" w:cs="仿宋"/>
          <w:b/>
          <w:bCs/>
          <w:color w:val="FF0000"/>
          <w:sz w:val="28"/>
          <w:szCs w:val="28"/>
        </w:rPr>
        <w:t>电子报价</w:t>
      </w:r>
      <w:r>
        <w:rPr>
          <w:rFonts w:hint="eastAsia" w:ascii="仿宋" w:hAnsi="仿宋" w:eastAsia="仿宋" w:cs="仿宋"/>
          <w:b/>
          <w:bCs/>
          <w:color w:val="FF0000"/>
          <w:sz w:val="28"/>
          <w:szCs w:val="28"/>
          <w:lang w:eastAsia="zh-CN"/>
        </w:rPr>
        <w:t>，</w:t>
      </w:r>
      <w:r>
        <w:rPr>
          <w:rFonts w:hint="eastAsia" w:ascii="仿宋" w:hAnsi="仿宋" w:eastAsia="仿宋" w:cs="仿宋"/>
          <w:b/>
          <w:bCs/>
          <w:color w:val="FF0000"/>
          <w:sz w:val="28"/>
          <w:szCs w:val="28"/>
          <w:lang w:val="en-US" w:eastAsia="zh-CN"/>
        </w:rPr>
        <w:t>U盘单独密封</w:t>
      </w:r>
      <w:r>
        <w:rPr>
          <w:rFonts w:hint="eastAsia" w:ascii="仿宋" w:hAnsi="仿宋" w:eastAsia="仿宋" w:cs="仿宋"/>
          <w:sz w:val="28"/>
          <w:szCs w:val="28"/>
        </w:rPr>
        <w:t>）</w:t>
      </w:r>
    </w:p>
    <w:p w14:paraId="11D4DA37">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4、参与供应商应符合《政府采购法》第二十二条的相关资质要求，具备相关资质。并提供相关证明材料或承诺函。 </w:t>
      </w:r>
    </w:p>
    <w:p w14:paraId="18720D96">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5、拟参与本项目的供应商如需了解项目情况，自行对接该项目负责人了解相关信息。</w:t>
      </w:r>
    </w:p>
    <w:p w14:paraId="053AA85D">
      <w:pPr>
        <w:spacing w:line="360" w:lineRule="auto"/>
        <w:ind w:firstLine="560" w:firstLineChars="200"/>
        <w:jc w:val="left"/>
        <w:rPr>
          <w:color w:val="auto"/>
        </w:rPr>
      </w:pPr>
      <w:r>
        <w:rPr>
          <w:rFonts w:hint="eastAsia" w:ascii="仿宋" w:hAnsi="仿宋" w:eastAsia="仿宋" w:cs="仿宋"/>
          <w:color w:val="auto"/>
          <w:sz w:val="28"/>
          <w:szCs w:val="28"/>
          <w:lang w:val="en-US" w:eastAsia="zh-CN"/>
        </w:rPr>
        <w:t>6、所有递交资料及相关证明材料必须加盖供应商鲜章有效。</w:t>
      </w:r>
    </w:p>
    <w:p w14:paraId="53F6BAEA">
      <w:pPr>
        <w:numPr>
          <w:ilvl w:val="0"/>
          <w:numId w:val="2"/>
        </w:numPr>
        <w:spacing w:line="56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本次公开询价结果只作为本项目采购预算价，不作为成交价。</w:t>
      </w:r>
    </w:p>
    <w:p w14:paraId="08556C05">
      <w:pPr>
        <w:numPr>
          <w:ilvl w:val="0"/>
          <w:numId w:val="2"/>
        </w:numPr>
        <w:spacing w:line="56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其他事项</w:t>
      </w:r>
    </w:p>
    <w:p w14:paraId="68FD5C6A">
      <w:pPr>
        <w:spacing w:line="360" w:lineRule="auto"/>
        <w:ind w:firstLine="560" w:firstLineChars="200"/>
        <w:jc w:val="left"/>
        <w:rPr>
          <w:rFonts w:hint="default" w:ascii="仿宋" w:hAnsi="仿宋" w:eastAsia="仿宋" w:cs="仿宋"/>
          <w:color w:val="auto"/>
          <w:sz w:val="28"/>
          <w:szCs w:val="28"/>
          <w:lang w:val="en-US" w:eastAsia="zh-CN"/>
        </w:rPr>
      </w:pPr>
      <w:bookmarkStart w:id="0" w:name="_Toc20249"/>
      <w:bookmarkStart w:id="1" w:name="_Toc20665"/>
      <w:r>
        <w:rPr>
          <w:rFonts w:hint="eastAsia" w:ascii="仿宋" w:hAnsi="仿宋" w:eastAsia="仿宋" w:cs="仿宋"/>
          <w:color w:val="auto"/>
          <w:sz w:val="28"/>
          <w:szCs w:val="28"/>
          <w:lang w:val="en-US" w:eastAsia="zh-CN"/>
        </w:rPr>
        <w:t>1、报名资料接收时间：（2026年10月8日-2026年10月12日；文件接收截止日期：2026年10月14日16：00）递交资料人员须为法人或授权委托人并提供证明文件查看。报名登记表见附件3。</w:t>
      </w:r>
    </w:p>
    <w:p w14:paraId="454F1550">
      <w:pPr>
        <w:spacing w:line="360" w:lineRule="auto"/>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2、公示人：成都市新津区中医医院 地址：成都市新津区西创大道1389号。</w:t>
      </w:r>
    </w:p>
    <w:p w14:paraId="35C790C4">
      <w:pPr>
        <w:spacing w:line="360" w:lineRule="auto"/>
        <w:ind w:firstLine="560" w:firstLineChars="200"/>
        <w:jc w:val="left"/>
        <w:rPr>
          <w:rFonts w:hint="default" w:hAnsi="宋体" w:cs="仿宋_GB2312"/>
          <w:color w:val="auto"/>
          <w:sz w:val="28"/>
          <w:szCs w:val="28"/>
          <w:lang w:val="en-US" w:eastAsia="zh-CN"/>
        </w:rPr>
      </w:pPr>
      <w:r>
        <w:rPr>
          <w:rFonts w:hint="eastAsia" w:ascii="仿宋" w:hAnsi="仿宋" w:eastAsia="仿宋" w:cs="仿宋"/>
          <w:color w:val="auto"/>
          <w:sz w:val="28"/>
          <w:szCs w:val="28"/>
          <w:lang w:val="en-US" w:eastAsia="zh-CN"/>
        </w:rPr>
        <w:t>3、报名联系人：潘老师、周老师028-82526150 ；项目咨询联系人：陈老师，13982085772。</w:t>
      </w:r>
    </w:p>
    <w:p w14:paraId="56EC0838">
      <w:pPr>
        <w:spacing w:line="360" w:lineRule="auto"/>
        <w:ind w:firstLine="560" w:firstLineChars="200"/>
        <w:jc w:val="left"/>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4、报名供应商可通过邮箱845865477@qq.com报名。报名需提交报名登记表及登记表要求的相关资质资料（盖公章）。</w:t>
      </w:r>
    </w:p>
    <w:p w14:paraId="69051BC5">
      <w:pPr>
        <w:numPr>
          <w:ilvl w:val="0"/>
          <w:numId w:val="0"/>
        </w:numPr>
        <w:spacing w:line="560" w:lineRule="exact"/>
        <w:rPr>
          <w:rFonts w:hint="eastAsia" w:ascii="仿宋" w:hAnsi="仿宋" w:eastAsia="仿宋" w:cs="仿宋"/>
          <w:b/>
          <w:bCs/>
          <w:color w:val="auto"/>
          <w:sz w:val="32"/>
          <w:szCs w:val="32"/>
          <w:lang w:val="en-US" w:eastAsia="zh-CN"/>
        </w:rPr>
      </w:pPr>
    </w:p>
    <w:p w14:paraId="6C596645">
      <w:pPr>
        <w:numPr>
          <w:ilvl w:val="0"/>
          <w:numId w:val="0"/>
        </w:numPr>
        <w:spacing w:line="560" w:lineRule="exact"/>
        <w:rPr>
          <w:rFonts w:hint="eastAsia" w:ascii="仿宋" w:hAnsi="仿宋" w:eastAsia="仿宋" w:cs="仿宋"/>
          <w:b/>
          <w:bCs/>
          <w:color w:val="auto"/>
          <w:sz w:val="32"/>
          <w:szCs w:val="32"/>
          <w:lang w:val="en-US" w:eastAsia="zh-CN"/>
        </w:rPr>
      </w:pPr>
    </w:p>
    <w:p w14:paraId="290D44DF">
      <w:pPr>
        <w:numPr>
          <w:ilvl w:val="0"/>
          <w:numId w:val="0"/>
        </w:numPr>
        <w:spacing w:line="560" w:lineRule="exact"/>
        <w:rPr>
          <w:rFonts w:hint="eastAsia" w:ascii="仿宋" w:hAnsi="仿宋" w:eastAsia="仿宋" w:cs="仿宋"/>
          <w:b/>
          <w:bCs/>
          <w:color w:val="auto"/>
          <w:sz w:val="32"/>
          <w:szCs w:val="32"/>
          <w:lang w:val="en-US" w:eastAsia="zh-CN"/>
        </w:rPr>
      </w:pPr>
    </w:p>
    <w:p w14:paraId="3B97DEFB">
      <w:pPr>
        <w:numPr>
          <w:ilvl w:val="0"/>
          <w:numId w:val="0"/>
        </w:numPr>
        <w:spacing w:line="560" w:lineRule="exact"/>
        <w:rPr>
          <w:rFonts w:hint="eastAsia" w:ascii="仿宋" w:hAnsi="仿宋" w:eastAsia="仿宋" w:cs="仿宋"/>
          <w:b/>
          <w:bCs/>
          <w:color w:val="auto"/>
          <w:sz w:val="32"/>
          <w:szCs w:val="32"/>
          <w:lang w:val="en-US" w:eastAsia="zh-CN"/>
        </w:rPr>
      </w:pPr>
    </w:p>
    <w:p w14:paraId="074C1B3A">
      <w:pPr>
        <w:numPr>
          <w:ilvl w:val="0"/>
          <w:numId w:val="0"/>
        </w:numPr>
        <w:spacing w:line="560" w:lineRule="exact"/>
        <w:rPr>
          <w:rFonts w:hint="eastAsia" w:ascii="仿宋" w:hAnsi="仿宋" w:eastAsia="仿宋" w:cs="仿宋"/>
          <w:b/>
          <w:bCs/>
          <w:color w:val="auto"/>
          <w:sz w:val="32"/>
          <w:szCs w:val="32"/>
          <w:lang w:val="en-US" w:eastAsia="zh-CN"/>
        </w:rPr>
      </w:pPr>
    </w:p>
    <w:p w14:paraId="4BCED486">
      <w:pPr>
        <w:pStyle w:val="7"/>
        <w:rPr>
          <w:rFonts w:hint="eastAsia" w:ascii="仿宋" w:hAnsi="仿宋" w:eastAsia="仿宋" w:cs="仿宋"/>
          <w:b/>
          <w:bCs/>
          <w:color w:val="auto"/>
          <w:sz w:val="32"/>
          <w:szCs w:val="32"/>
          <w:lang w:val="en-US" w:eastAsia="zh-CN"/>
        </w:rPr>
      </w:pPr>
    </w:p>
    <w:p w14:paraId="04E3D95E">
      <w:pPr>
        <w:pStyle w:val="16"/>
        <w:rPr>
          <w:rFonts w:hint="eastAsia"/>
          <w:lang w:val="en-US" w:eastAsia="zh-CN"/>
        </w:rPr>
      </w:pPr>
    </w:p>
    <w:p w14:paraId="659C3763">
      <w:pPr>
        <w:numPr>
          <w:ilvl w:val="0"/>
          <w:numId w:val="0"/>
        </w:numPr>
        <w:spacing w:line="560" w:lineRule="exact"/>
        <w:rPr>
          <w:rFonts w:hint="eastAsia" w:ascii="仿宋" w:hAnsi="仿宋" w:eastAsia="仿宋" w:cs="仿宋"/>
          <w:b/>
          <w:bCs/>
          <w:color w:val="auto"/>
          <w:sz w:val="32"/>
          <w:szCs w:val="32"/>
          <w:lang w:val="en-US" w:eastAsia="zh-CN"/>
        </w:rPr>
      </w:pPr>
    </w:p>
    <w:p w14:paraId="2F118B8E">
      <w:pPr>
        <w:numPr>
          <w:ilvl w:val="0"/>
          <w:numId w:val="0"/>
        </w:numPr>
        <w:spacing w:line="560" w:lineRule="exact"/>
        <w:rPr>
          <w:rFonts w:hint="eastAsia"/>
          <w:lang w:val="en-US" w:eastAsia="zh-CN"/>
        </w:rPr>
      </w:pPr>
      <w:r>
        <w:rPr>
          <w:rFonts w:hint="eastAsia" w:ascii="仿宋" w:hAnsi="仿宋" w:eastAsia="仿宋" w:cs="仿宋"/>
          <w:b/>
          <w:bCs/>
          <w:color w:val="auto"/>
          <w:sz w:val="32"/>
          <w:szCs w:val="32"/>
          <w:lang w:val="en-US" w:eastAsia="zh-CN"/>
        </w:rPr>
        <w:t>附件1：采购需求</w:t>
      </w:r>
    </w:p>
    <w:p w14:paraId="37F62CB0">
      <w:pPr>
        <w:spacing w:line="500" w:lineRule="exact"/>
        <w:rPr>
          <w:rFonts w:hint="default" w:eastAsia="黑体"/>
          <w:lang w:val="en-US" w:eastAsia="zh-CN"/>
        </w:rPr>
      </w:pPr>
      <w:r>
        <w:rPr>
          <w:rFonts w:hint="eastAsia" w:ascii="黑体" w:hAnsi="黑体" w:eastAsia="黑体" w:cs="黑体"/>
          <w:sz w:val="32"/>
          <w:szCs w:val="32"/>
        </w:rPr>
        <w:t>一、</w:t>
      </w:r>
      <w:r>
        <w:rPr>
          <w:rFonts w:hint="eastAsia" w:ascii="黑体" w:hAnsi="黑体" w:eastAsia="黑体" w:cs="黑体"/>
          <w:sz w:val="32"/>
          <w:szCs w:val="32"/>
          <w:lang w:val="en-US" w:eastAsia="zh-CN"/>
        </w:rPr>
        <w:t>项目概况</w:t>
      </w:r>
    </w:p>
    <w:p w14:paraId="57E1391E">
      <w:pPr>
        <w:pStyle w:val="28"/>
        <w:ind w:firstLine="640" w:firstLineChars="200"/>
        <w:rPr>
          <w:rFonts w:hint="eastAsia" w:ascii="仿宋" w:hAnsi="仿宋" w:eastAsia="仿宋" w:cs="仿宋"/>
          <w:b w:val="0"/>
          <w:bCs w:val="0"/>
          <w:color w:val="auto"/>
          <w:kern w:val="2"/>
          <w:sz w:val="32"/>
          <w:szCs w:val="32"/>
          <w:vertAlign w:val="baseline"/>
          <w:lang w:val="en-US" w:eastAsia="zh-CN" w:bidi="ar-SA"/>
        </w:rPr>
      </w:pPr>
      <w:r>
        <w:rPr>
          <w:rFonts w:hint="eastAsia" w:ascii="仿宋" w:hAnsi="仿宋" w:eastAsia="仿宋" w:cs="仿宋"/>
          <w:b w:val="0"/>
          <w:bCs w:val="0"/>
          <w:color w:val="auto"/>
          <w:kern w:val="2"/>
          <w:sz w:val="32"/>
          <w:szCs w:val="32"/>
          <w:vertAlign w:val="baseline"/>
          <w:lang w:val="en-US" w:eastAsia="zh-CN" w:bidi="ar-SA"/>
        </w:rPr>
        <w:t>为持续做好全院后勤保障工作，及时为全院临床科室和各职能部门提供开展工作所需日杂用品，维持工作正常开展，现拟招日杂用品供应商一名，负责保质保量为医院供应日常使用各类日杂用品服务，来满足工作开展需求。</w:t>
      </w:r>
    </w:p>
    <w:p w14:paraId="3CD2EC67">
      <w:pPr>
        <w:pStyle w:val="11"/>
        <w:numPr>
          <w:ilvl w:val="0"/>
          <w:numId w:val="3"/>
        </w:numPr>
        <w:ind w:left="0" w:leftChars="0" w:firstLine="0" w:firstLineChars="0"/>
        <w:rPr>
          <w:rFonts w:hint="eastAsia" w:ascii="黑体" w:hAnsi="黑体" w:eastAsia="黑体" w:cs="黑体"/>
          <w:b w:val="0"/>
          <w:bCs w:val="0"/>
          <w:color w:val="000000"/>
          <w:kern w:val="2"/>
          <w:sz w:val="32"/>
          <w:szCs w:val="32"/>
          <w:lang w:val="en-US" w:eastAsia="zh-CN" w:bidi="ar-SA"/>
        </w:rPr>
      </w:pPr>
      <w:r>
        <w:rPr>
          <w:rFonts w:hint="eastAsia" w:ascii="黑体" w:hAnsi="黑体" w:eastAsia="黑体" w:cs="黑体"/>
          <w:b w:val="0"/>
          <w:bCs w:val="0"/>
          <w:color w:val="000000"/>
          <w:kern w:val="2"/>
          <w:sz w:val="32"/>
          <w:szCs w:val="32"/>
          <w:lang w:val="en-US" w:eastAsia="zh-CN" w:bidi="ar-SA"/>
        </w:rPr>
        <w:t>采购需求</w:t>
      </w:r>
    </w:p>
    <w:tbl>
      <w:tblPr>
        <w:tblStyle w:val="18"/>
        <w:tblW w:w="964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50"/>
        <w:gridCol w:w="2145"/>
        <w:gridCol w:w="3553"/>
        <w:gridCol w:w="1056"/>
        <w:gridCol w:w="1843"/>
      </w:tblGrid>
      <w:tr w14:paraId="2E1B7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E86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D68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产品清单</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709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技术参数(以下涉及的固定数值处可偏离±2%，如有最新标准按最新标准执行)</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1B0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单位</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444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预估数量</w:t>
            </w:r>
          </w:p>
        </w:tc>
      </w:tr>
      <w:tr w14:paraId="39A29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B24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F26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擦手纸</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9A5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1.规格：225mm*220mm* 1层140抽/包（140张）；材质：100%原生竹浆。</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45C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FCC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10000</w:t>
            </w:r>
          </w:p>
        </w:tc>
      </w:tr>
      <w:tr w14:paraId="0C7C6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D4E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DDD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餐巾纸</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A7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1.规格：230mm*230mm  2层；材质:100%纯木浆，整箱散装10公斤</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AED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件</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28E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0FF3F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ACE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279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卫生散纸</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47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1.规格：170mm*180mm*2600张/包*10包；材质:100%纯木浆，透明包装</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12C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件</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2E5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180</w:t>
            </w:r>
          </w:p>
        </w:tc>
      </w:tr>
      <w:tr w14:paraId="5950B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605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E7E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小包抽纸</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D83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1.规格：105mm*180mm 3层/抽/100抽（300张）；材质:100%原生竹浆</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217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682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750</w:t>
            </w:r>
          </w:p>
        </w:tc>
      </w:tr>
      <w:tr w14:paraId="73952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CB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9DBE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软抽纸</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2D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1.规格：210mm*210mm 2层；材质:100%原生木浆，软抽、200抽/包（400张）</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E39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提</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C71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60</w:t>
            </w:r>
          </w:p>
        </w:tc>
      </w:tr>
      <w:tr w14:paraId="768A5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2B4B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44C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硬抽纸</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51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1.规格：190mm*210mm 2层；材质:100%原生木浆，硬抽、200抽/盒（400张）</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085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提</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50B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r>
      <w:tr w14:paraId="6B397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79F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CC9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定制小卷纸</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2FA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1.规格：70g/卷*180卷 4层；材质:100%原木浆</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856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件</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42C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5B5C8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85E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C3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珍宝大卷纸</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003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1.规格：550g/卷*12卷 3层；材质:100%纯木浆</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2ED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件</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B9B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180</w:t>
            </w:r>
          </w:p>
        </w:tc>
      </w:tr>
      <w:tr w14:paraId="39370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882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86E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方篮筐</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D31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1.规格：27*36*10cm；材质：pp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31BB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981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1479D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3E8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43A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方篮筐</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A67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1.规格：25*35*8cm；材质：pp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9DD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549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3DB7D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713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DB9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方篮筐</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F98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1.规格：32*23cm*8cm；材质：pp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175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0631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3C26E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4D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78C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条篮筐</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888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1.规格：13*31*6cm；材质:pp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E93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9CD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47E59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8E1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D70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手提筐</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C6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1.规格：34*30cm；材质：pp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AC1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696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19F05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FBF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24C6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塑料筐</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4A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1.规格：44*31cm；材质：pp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827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105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1DEFC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9B7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11E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EB4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1.规格：45*34*27cm；材质：pp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4D1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E635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30C8E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4A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F87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E6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1.规格：55*41*33cm；材质：pp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3662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39A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14928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D8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04C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13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1.规格：62*47*37cm；材质:PP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F31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21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1E1F7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AC8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3E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BD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1.规格：70*52*42cm；材质：pp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C9E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AE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7360C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84D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540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710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1.规格：80*60*50cm；材质：pp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0C0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A19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69ABD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C1B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A48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31B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1.规格：28*19*17cm；材质：pp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25A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57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3D078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7A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4AF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33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1.规格：33*23*18cm；材质：pp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C4E3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525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0527C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8FB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387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AC7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1.规格：38*27*20cm；材质：pp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DCB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F6E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3C6D2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731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F00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659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1.规格：65*45cm；材质：pp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C7F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F47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6B788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51F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EA4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E7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1.规格：62*50cm；材质：pp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73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5AD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35EF6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74D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F4C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DF1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1.规格：40*36cm；材质：pp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C38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0F2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17ECF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B71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07C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3C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1.规格：48*36cm；材质：pp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0E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41D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5C6B1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59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915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61D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1.规格：36*52cm；材质：pp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D18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9ED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55796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9E8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C3B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高款中号收纳箱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5B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规格;31*22*18cm；材质：pp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3305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7B3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67179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6AC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A6E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喷壶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CBF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1.规格：5L；材质：PE（大）</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E72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E89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60204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5C4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67B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喷壶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2D6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1.规格：3L；材质：PE（中）</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70D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251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622EB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58F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0CF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喷壶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40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1.规格：1L；材质：PE（小）</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D1C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F78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26F0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34E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F58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喷雾瓶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18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规格：50ml  材质：pp及PET</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05E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EA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400</w:t>
            </w:r>
          </w:p>
        </w:tc>
      </w:tr>
      <w:tr w14:paraId="461D5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C7A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A2C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喷雾瓶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BE6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规格：70ml  材质：pp及PET</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4D9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32A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400</w:t>
            </w:r>
          </w:p>
        </w:tc>
      </w:tr>
      <w:tr w14:paraId="6806F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AA7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682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无痕粘钩</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D52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1.规格：1板3个，承重5kg；材质:不锈钢+塑料</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0FF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板</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836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250</w:t>
            </w:r>
          </w:p>
        </w:tc>
      </w:tr>
      <w:tr w14:paraId="440E3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92B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36A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保鲜盒</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4AC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1.规格：16cm*11cm*6cm；材质：pp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7B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B02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3CD06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AA2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4F4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保鲜膜</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CD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1.规格：30cm*100m；材质:PE</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27A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卷</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171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5CE93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F42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9B3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可吸吸管</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00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1.规格：210*6mm；材质：pp材质</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F0A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EE3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6CBFC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FEC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C04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一次性盆套</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E50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1.规格：60*60cm；材质:PVC</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FBD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8DBA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64A19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DC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820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橡胶雨鞋</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31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1.规格：45cm；材质：橡胶</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9D3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7EB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0070A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CCE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18A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胶手套（大）</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66D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1.规格：45cm；材质：乳胶</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9BF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F7A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4D89B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C37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AE6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医药箱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B41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规格：34.5*13.5*41.5cm 材质：金属</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193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72E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697B2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F1A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340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养生电热烧水壶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AB1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规格：1.5L，材质:不锈钢+玻璃</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510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377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71DCB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BEA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07B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刷子</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3B6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1.规格：长：14cm宽：6cm 厚：6cm；材质：塑料</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AE5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1C8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w:t>
            </w:r>
          </w:p>
        </w:tc>
      </w:tr>
      <w:tr w14:paraId="6DB42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251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7D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百洁布</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3E8B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1.规格：1*5片；材质：涤纶+金刚砂</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167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7A6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300</w:t>
            </w:r>
          </w:p>
        </w:tc>
      </w:tr>
      <w:tr w14:paraId="37819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CB0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2D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毛巾</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BE1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1.规格：34*74*2cm；材质：纯棉纱线</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4FB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F70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r>
      <w:tr w14:paraId="3FA30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16E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EC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白色方巾</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09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1.规格：35*35cm；材质:棉纱</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934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9F1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600</w:t>
            </w:r>
          </w:p>
        </w:tc>
      </w:tr>
      <w:tr w14:paraId="270A3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9DE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A0E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蓝色大桶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F5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1.规格：180型（100cm*48cm）；材质：塑料pp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EAD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B8C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r>
      <w:tr w14:paraId="683B1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B79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B0F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防滑垫</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FB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1.规格：长：18.5m宽：1.2m；厚：0.005m；材质：PVC</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B9B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平方米</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DD3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72FCA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06A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3B0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防滑垫</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87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1.规格：长：1.5m宽：1.5m厚：0.25m；材质：PVC</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4AE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平方</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E8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0DFEA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D3DB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8CF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纸杯</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4A3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 规格：160ML；材质：食品级木浆纸</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7C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2A1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300000</w:t>
            </w:r>
          </w:p>
        </w:tc>
      </w:tr>
      <w:tr w14:paraId="4788F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C7B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74A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纸杯</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413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 规格：60ML；材质：食品级木浆纸</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D842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762A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30000</w:t>
            </w:r>
          </w:p>
        </w:tc>
      </w:tr>
      <w:tr w14:paraId="7F2FE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8BA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8DC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杀虫气雾剂</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58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1.规格：净含量 600ml / 瓶；有效成分为炔咪菊酯、四氟苯菊酯；属于卫生用杀虫剂，具备农业农村部 WP 开头卫生用农药登记证、农药生产许可证，随货附产品合格证；符合 GB/T 18419</w:t>
            </w:r>
            <w:r>
              <w:rPr>
                <w:rFonts w:hint="eastAsia" w:ascii="仿宋" w:hAnsi="仿宋" w:eastAsia="仿宋" w:cs="仿宋"/>
                <w:i w:val="0"/>
                <w:iCs w:val="0"/>
                <w:color w:val="000000"/>
                <w:kern w:val="0"/>
                <w:sz w:val="28"/>
                <w:szCs w:val="28"/>
                <w:u w:val="none"/>
                <w:lang w:val="en-US" w:eastAsia="zh-CN" w:bidi="ar"/>
              </w:rPr>
              <w:noBreakHyphen/>
            </w:r>
            <w:r>
              <w:rPr>
                <w:rFonts w:hint="eastAsia" w:ascii="仿宋" w:hAnsi="仿宋" w:eastAsia="仿宋" w:cs="仿宋"/>
                <w:i w:val="0"/>
                <w:iCs w:val="0"/>
                <w:color w:val="000000"/>
                <w:kern w:val="0"/>
                <w:sz w:val="28"/>
                <w:szCs w:val="28"/>
                <w:u w:val="none"/>
                <w:lang w:val="en-US" w:eastAsia="zh-CN" w:bidi="ar"/>
              </w:rPr>
              <w:t>2017《家用卫生杀虫用品 杀虫气雾剂》、GB/T13917.2</w:t>
            </w:r>
            <w:r>
              <w:rPr>
                <w:rFonts w:hint="eastAsia" w:ascii="仿宋" w:hAnsi="仿宋" w:eastAsia="仿宋" w:cs="仿宋"/>
                <w:i w:val="0"/>
                <w:iCs w:val="0"/>
                <w:color w:val="000000"/>
                <w:kern w:val="0"/>
                <w:sz w:val="28"/>
                <w:szCs w:val="28"/>
                <w:u w:val="none"/>
                <w:lang w:val="en-US" w:eastAsia="zh-CN" w:bidi="ar"/>
              </w:rPr>
              <w:noBreakHyphen/>
            </w:r>
            <w:r>
              <w:rPr>
                <w:rFonts w:hint="eastAsia" w:ascii="仿宋" w:hAnsi="仿宋" w:eastAsia="仿宋" w:cs="仿宋"/>
                <w:i w:val="0"/>
                <w:iCs w:val="0"/>
                <w:color w:val="000000"/>
                <w:kern w:val="0"/>
                <w:sz w:val="28"/>
                <w:szCs w:val="28"/>
                <w:u w:val="none"/>
                <w:lang w:val="en-US" w:eastAsia="zh-CN" w:bidi="ar"/>
              </w:rPr>
              <w:t>2025 标准；微毒，适用于室内驱杀蚊、蝇、蟑螂；罐体压力容器符合安全规范，标签标识完整清晰；生产日期新鲜，剩余保质期不少于 2/3；禁止含有国家禁用成分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2DE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瓶</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25B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05F62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101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8CC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洗手液</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65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1.规格：5kg/桶 成分：去离子水，表面活性剂，香精，食用色素等</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AD2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桶</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D93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46046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DE4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22D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套装刷子</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0F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1.规格：48*14cm；材质:pp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68D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BEA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37603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CDC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612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自封袋</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F6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1.规格：16*23+4cm；材质:牛皮纸</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69A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052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3000</w:t>
            </w:r>
          </w:p>
        </w:tc>
      </w:tr>
      <w:tr w14:paraId="5EDE2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4A6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B9B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体重秤</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F8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1.规格：50kg；材质:金属+玻璃</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40A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D2A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6B033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1A2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069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头花</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EA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1.钻石花，材质：棉布</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5003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朵</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0E1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r>
      <w:tr w14:paraId="793D2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1F0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BC4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电热蚊香片加热器</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AEB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1.规格：卷线式，线头1.2米</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48A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EA9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20CB7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F69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D03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灭蚊药片</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4F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1.规格：60片/盒；卫生用杀虫剂，具备农业农村部 WP 开头卫生用农药登记证、农药生产许可证，随货附产品合格证；符合 GB/T 18418</w:t>
            </w:r>
            <w:r>
              <w:rPr>
                <w:rFonts w:hint="eastAsia" w:ascii="仿宋" w:hAnsi="仿宋" w:eastAsia="仿宋" w:cs="仿宋"/>
                <w:i w:val="0"/>
                <w:iCs w:val="0"/>
                <w:color w:val="000000"/>
                <w:kern w:val="0"/>
                <w:sz w:val="28"/>
                <w:szCs w:val="28"/>
                <w:u w:val="none"/>
                <w:lang w:val="en-US" w:eastAsia="zh-CN" w:bidi="ar"/>
              </w:rPr>
              <w:noBreakHyphen/>
            </w:r>
            <w:r>
              <w:rPr>
                <w:rFonts w:hint="eastAsia" w:ascii="仿宋" w:hAnsi="仿宋" w:eastAsia="仿宋" w:cs="仿宋"/>
                <w:i w:val="0"/>
                <w:iCs w:val="0"/>
                <w:color w:val="000000"/>
                <w:kern w:val="0"/>
                <w:sz w:val="28"/>
                <w:szCs w:val="28"/>
                <w:u w:val="none"/>
                <w:lang w:val="en-US" w:eastAsia="zh-CN" w:bidi="ar"/>
              </w:rPr>
              <w:t>2018、GB/T13917.5 标准；有效成分为拟除虫菊酯类（含或相当于炔丙菊酯、氯氟醚菊酯）；微毒，挥发稳定，驱蚊效果良好；药片基材完整无破碎；包装标识齐全；剩余保质期不少于 2/3，无国家禁用助剂</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577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C453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r>
      <w:tr w14:paraId="1014E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749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D1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大封口胶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8F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1.规格：宽：6cm*100码；材质:PVC</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002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9A8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07EFC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D983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1B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封口胶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7C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1.规格：宽：3cm*100码；材质:PVC</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A27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2BD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615EF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B21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683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驱蚊花露水</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2E0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1.规格：80ml；材质：驱蚊脂45%</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13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瓶</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E55C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56022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9F2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B92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防水袖套</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F17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1.规格：35cm；材质:PVC</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089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FE7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1BEC5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88F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194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密封玻璃罐</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68A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规格：500ml；材质：玻璃</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99D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3FE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r>
      <w:tr w14:paraId="25043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BDB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906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保温水瓶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EA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1.规格：8泵；材质；不锈钢+内胆</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E43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854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28051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C62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A900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保温水瓶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844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1.规格：8泵；材质：pp+内胆</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968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397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5052A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BD4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D49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电子计时器</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37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1.规格：14cm*9cm；材质:金属材料</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EB8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1F9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7F450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E7F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E69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泡沫双面胶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A6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1.规格：2MM；材质:泡沫+胶水</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DDE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1E1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7FD14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801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F71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浴足木桶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7B4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1.规格：350mm*350mm材质：木质</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5E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F39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4494E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01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28D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一次性披肩围布</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6DA2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规格：1m*1m；材质：聚乙烯</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5C6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AFA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3000</w:t>
            </w:r>
          </w:p>
        </w:tc>
      </w:tr>
      <w:tr w14:paraId="32309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703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980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串联红旗</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A20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1.规格：13.5cm*20cm  7米/串  材质:涤纶</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970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8BC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0198C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48F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5E0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小红旗</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91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材质:涤纶   规格：13.5cm*20.5cm</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737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DFD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800</w:t>
            </w:r>
          </w:p>
        </w:tc>
      </w:tr>
      <w:tr w14:paraId="356CB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CD5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40D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圆形利器盒</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25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1.规格：1L  材质:聚丙烯</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51B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8E4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57453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C283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5BB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圆形利器盒  </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B51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1.规格：3L  材质:聚丙烯</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8E7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FEA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03B3F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5953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DFD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圆形利器盒 </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A3C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 5L  材质:聚丙烯</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9B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D3F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8200</w:t>
            </w:r>
          </w:p>
        </w:tc>
      </w:tr>
      <w:tr w14:paraId="7D6CA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FA9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5F3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方形利器盒  </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21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1.规格：15L  材质:聚丙烯</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9F0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5F7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400</w:t>
            </w:r>
          </w:p>
        </w:tc>
      </w:tr>
      <w:tr w14:paraId="6BA02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423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DDD5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方形利器盒  </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0D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1.规格：25L  材质:聚丙烯</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B14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17D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35555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D2D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2A9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医疗废物封口标签</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BC5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1.规格：7*5cm  材质:PP背胶纸</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555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卷</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90C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r>
      <w:tr w14:paraId="49504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6D7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91A2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医用垃圾袋专用扎带</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6A2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1.规格：40*250cm 黄色    材质:尼龙</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E25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D22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300</w:t>
            </w:r>
          </w:p>
        </w:tc>
      </w:tr>
      <w:tr w14:paraId="72CB1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76C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C3A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定制不锈钢托架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15C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规格：80*60*20 材质：不锈钢</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4BFE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0A5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5CD30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FC5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6E0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医疗垃圾桶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A4B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1.规格：20L  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B7F8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35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7D92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D71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49E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医疗垃圾桶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5E89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规格：40L  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8E6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195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75BD5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123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61A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一次性手套</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6D0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规格：100双  材质:聚乙烯PE</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633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1B9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r>
      <w:tr w14:paraId="05E6E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2A9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AE9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电吹风</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FA3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规格：1800W 功能:护发，负离子，恒温</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E9E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B4E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36D9A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BDC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633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户外垃圾桶内胆</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999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规格：31*31*43，材质:镀锌</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F57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291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4651A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7C7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776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浴巾</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320B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规格：70cm*140cm  材质:超细纤维</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B64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EA2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90</w:t>
            </w:r>
          </w:p>
        </w:tc>
      </w:tr>
      <w:tr w14:paraId="71DE4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7D7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9093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粘鼠板</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57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规格：17cm*22cm  材质:硬底板强力诱香蕉水</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C8D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70D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2329D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5FD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B97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落地工业电风扇</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483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规格：650型，材质:铁+铜</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A45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F0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64CC5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63F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711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电动喷雾器</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60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规格20L材质:铜芯高压隔膜泵+PP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98F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382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r>
      <w:tr w14:paraId="14D19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42B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C6C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小包手帕纸</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D3E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规格：210mm*210mm；材质：原生木浆</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143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C2E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r>
      <w:tr w14:paraId="06A5C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1F5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6C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艾草生姜精油</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C29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规格：500ml；成分：艾草油.生姜油.岩兰草根油.葡萄籽油.辣椒提取物.五味子提取物</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4B5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FC0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6370A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155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9A1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挂锁</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8C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规格：38mm  材质:合金</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2C7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10F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1D3CC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B98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991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保温桶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DB0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规格：46L，材质:不锈钢</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057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794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620D2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0752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C83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塑料桶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2BE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规格：15kg  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EA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047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4D00D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047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647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保温桶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6F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规格：带龙头36L，材质:不锈钢</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9C6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E63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5D72E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4D99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6DE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304不锈钢三层蒸锅</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4DE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规格：32cm，材质:不锈钢</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FC5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417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213DF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544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B0E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不锈钢梯子</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A21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规格：1.8M  材质;不锈钢</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731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788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3778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C1E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F4D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抽纸盒</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94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规格：24cm*12cm*9.5cm；材质：皮革</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DF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B40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75F1C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55E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D07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衣架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821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规格：40cm  钢芯，PP浸塑</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EF0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E6C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r>
      <w:tr w14:paraId="1D23F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E7A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D78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平板推车</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300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规格：60cm*90cm  材质;ABS</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8ED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辆</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B6B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5A670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35E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2B2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充电电筒</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55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规格：LED  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65A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0D5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3CDF4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77ED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523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防烫手套</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384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规格：25cm*15cm 材质：精选帆布</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6CD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194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3E8B8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0F33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39D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艾条棉纸</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BF4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规格：1-3cm  材质：木棉纤维</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F6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D38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20000</w:t>
            </w:r>
          </w:p>
        </w:tc>
      </w:tr>
      <w:tr w14:paraId="3CE70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C3A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A01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遮阳伞</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2B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规格：伞面遮阳直径≥2.5m；伞杆伞骨喷涂铝合金（太空铝或相当于），户外防锈耐腐蚀；配套可注水底座，注水后总重≥90kg；伞布防水抗紫外线，含底座整套</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69A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DDB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504DC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7CE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319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电子体重秤</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86C8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规格：100Kg  材质:不锈钢</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B59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711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1D25D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98D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594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储物罐</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C7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规格：540ml；材质：陶瓷</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B8A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92B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450DF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E12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651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储物罐</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BD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规格：1100ml；材质：陶瓷</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A2FB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89F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6AECE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EF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36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棉带</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057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规格：1cm 材质：棉线</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3D7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F6E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2B314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ED8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1783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一次性雨衣</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BDC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规格：均码  材质:PE</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7AE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件</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80F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300</w:t>
            </w:r>
          </w:p>
        </w:tc>
      </w:tr>
      <w:tr w14:paraId="3EF8D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857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2D5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一次性头套</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0E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规格：均码，材质:PE</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005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82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1000</w:t>
            </w:r>
          </w:p>
        </w:tc>
      </w:tr>
      <w:tr w14:paraId="6109F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87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364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爽身粉</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55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规格：140g；执行标准：Q/QWWZYT 010</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1D7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3E52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35C9B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142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A3B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棉手套</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C44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规格：1包*10双 材质:棉纱</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22E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BED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r>
      <w:tr w14:paraId="3E22A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E8F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1F8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免洗拖把</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2F0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规格：42cm 材质：超细纤维+不锈钢杆</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B139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C8A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r>
      <w:tr w14:paraId="15D08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497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3F5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加绒帆布手套</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F70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规格：100g/双，材质:24线白甲全衬帆布</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3AA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0B0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54BD9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CA9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40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塑料凳</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945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规格：30*30*46  材质：pp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3D7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867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120</w:t>
            </w:r>
          </w:p>
        </w:tc>
      </w:tr>
      <w:tr w14:paraId="3D6CE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288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3B8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驱鼠器</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63E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规格：双喇叭变频超强版  材质:ABS</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3EC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33C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1708E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45A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77D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不锈钢刻度量杯</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13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规格：2000ml，材质:不锈钢</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ACC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FE8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620B9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FF6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F5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钢丝球</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F77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规格：017 材质:不锈钢丝</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282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117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5C5A8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CB7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1D6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牙刷</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1A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材质:纤细软毛 产品标准：GB 30003</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E12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01DA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6C520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E7A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E737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电击式灭蚊灯</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07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规格：10W 材质:铝合金+阻燃ABS</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D52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E36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4B909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486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9AB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鸡蛋</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8C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规格：食用鲜鸡蛋，单枚重量 48</w:t>
            </w:r>
            <w:r>
              <w:rPr>
                <w:rFonts w:hint="eastAsia" w:ascii="仿宋" w:hAnsi="仿宋" w:eastAsia="仿宋" w:cs="仿宋"/>
                <w:i w:val="0"/>
                <w:iCs w:val="0"/>
                <w:color w:val="000000"/>
                <w:kern w:val="0"/>
                <w:sz w:val="28"/>
                <w:szCs w:val="28"/>
                <w:u w:val="none"/>
                <w:lang w:val="en-US" w:eastAsia="zh-CN" w:bidi="ar"/>
              </w:rPr>
              <w:noBreakHyphen/>
            </w:r>
            <w:r>
              <w:rPr>
                <w:rFonts w:hint="eastAsia" w:ascii="仿宋" w:hAnsi="仿宋" w:eastAsia="仿宋" w:cs="仿宋"/>
                <w:i w:val="0"/>
                <w:iCs w:val="0"/>
                <w:color w:val="000000"/>
                <w:kern w:val="0"/>
                <w:sz w:val="28"/>
                <w:szCs w:val="28"/>
                <w:u w:val="none"/>
                <w:lang w:val="en-US" w:eastAsia="zh-CN" w:bidi="ar"/>
              </w:rPr>
              <w:t>52g；符合 GB 2749</w:t>
            </w:r>
            <w:r>
              <w:rPr>
                <w:rFonts w:hint="eastAsia" w:ascii="仿宋" w:hAnsi="仿宋" w:eastAsia="仿宋" w:cs="仿宋"/>
                <w:i w:val="0"/>
                <w:iCs w:val="0"/>
                <w:color w:val="000000"/>
                <w:kern w:val="0"/>
                <w:sz w:val="28"/>
                <w:szCs w:val="28"/>
                <w:u w:val="none"/>
                <w:lang w:val="en-US" w:eastAsia="zh-CN" w:bidi="ar"/>
              </w:rPr>
              <w:noBreakHyphen/>
            </w:r>
            <w:r>
              <w:rPr>
                <w:rFonts w:hint="eastAsia" w:ascii="仿宋" w:hAnsi="仿宋" w:eastAsia="仿宋" w:cs="仿宋"/>
                <w:i w:val="0"/>
                <w:iCs w:val="0"/>
                <w:color w:val="000000"/>
                <w:kern w:val="0"/>
                <w:sz w:val="28"/>
                <w:szCs w:val="28"/>
                <w:u w:val="none"/>
                <w:lang w:val="en-US" w:eastAsia="zh-CN" w:bidi="ar"/>
              </w:rPr>
              <w:t>2015 食品安全国家标准；蛋壳完整无裂纹破损，无散黄、变质、异味，新鲜合格</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A87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2C8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2000</w:t>
            </w:r>
          </w:p>
        </w:tc>
      </w:tr>
      <w:tr w14:paraId="75D8A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D3B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BF3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大喇叭</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C4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规格：A50Max  材质:ABS</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BBE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10C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19F45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D8C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2B0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手术室防滑包头拖鞋</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B1D3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规格：一体成型；材质：环保EVA</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E03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1DE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16324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F4B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57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艾灸锤（成品）</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6B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规格：31cm  成分:艾草</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688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E8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400</w:t>
            </w:r>
          </w:p>
        </w:tc>
      </w:tr>
      <w:tr w14:paraId="426A6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898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A0D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天然土蜂蜡</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BB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规格：500g  成分：蜂巢坠脾</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A026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斤</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073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24018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B0D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87B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供应室器械清洁刷</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8AE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规格：220*45/30*11/14mm，尺寸允许 ±2%；刷杆不锈钢，尼龙丝刷毛；刷毛粘接牢固，刷洗过程无掉丝；耐常用医用消毒剂浸泡；用于器械缝隙清洗</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97F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E86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36F47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2E6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117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供应室器械清洁刷</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70E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规格：15*80*220mm，尺寸允许 ±2%；刷杆不锈钢，尼龙丝刷毛；刷毛牢固不易脱落，耐医用消毒剂；用于手术器械清洗丝</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30D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072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42457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A4A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B93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供应室器械清洁刷</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115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规格：12*35*180mm，尺寸允许 ±2%；刷杆不锈钢，尼龙丝刷毛；刷毛牢固不掉丝，耐受医用消毒试剂；适配细小器械缝隙刷洗</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2FC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4B5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513E6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5A8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9A1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双头水汽按钮清洗刷管</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65B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规格：C型双头，总长 10cm，小头 10mm，尺寸允许 ±2%；手柄 ABS 材质，刷毛杜邦丝；刷毛紧固，不易掉毛；可耐受医用消毒，适用于设备按钮缝隙清洗</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015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79A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53888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DE5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0ED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刷腔镜细长刷</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10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规格：总长70cm直径1cm，材质:不锈钢杆+弹力丝毛总长 70cm，直径 1cm，尺寸允许 ±2%；不锈钢杆，弹力丝毛；刷毛牢固，使用无掉丝；可耐受医用消毒剂，适用于腔镜管腔清洗</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3C3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BE4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00A43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F77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21D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刷腔镜细长刷</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956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规格：总长70cm直径1.2cm，材质:不锈钢杆+弹力丝毛总长 70cm，直径 1.2cm，尺寸允许 ±2%；不锈钢杆，弹力丝毛；刷毛紧固不掉毛；适配腔镜管道清洗，耐消毒浸泡</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FAB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725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46CA5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58A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D21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刷腔镜细长刷</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3C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规格：总长70cm直径5mm，材质:不锈钢杆+弹力丝毛总长 70cm，直径 5mm，尺寸允许 ±2%；不锈钢杆，弹力丝毛；刷毛牢固无掉丝；用于细小腔镜管道刷洗</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A90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FAB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24216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9A1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116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管腔刷</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3FC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规格：刷头直径 4mm，尺寸允许 ±2%；不锈钢丝刷体；刷毛牢固不易脱落；适用于各类细管腔清洗，耐受医用消毒剂</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81A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29A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6AE4A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F33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6E0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内窥镜海绵刷</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E6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规格：5.5cm*10cm 材质:PVA</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1FD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621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1FF1C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2D2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FC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尼龙丝加长细试管刷</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80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规格：总长 50cm，刷头直径 10mm，尺寸允许 ±2%；不锈钢杆，尼龙丝刷毛；刷毛牢固不掉丝；耐消毒剂，适用于各类管状容器清洗</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A4D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FDA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6BB0A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1ED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269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尼龙丝加长细试管刷</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FBF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规格：总长 50cm，刷头直径 7mm，尺寸允许 ±2%；不锈钢杆，尼龙丝刷毛；刷毛紧固，耐医用消毒试剂</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871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2AA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609E3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692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9B0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尼龙丝加长细试管刷</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B0A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规格：总长50cm直径5mm，材质:不锈钢杆+尼龙丝总长 50cm，刷头直径 5mm，尺寸允许 ±2%；不锈钢杆，尼龙丝刷毛；无掉丝脱毛现象</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E61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8D2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22275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8F4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818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尼龙丝加长细试管刷</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FE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规格：刷头直径 10mm，尺寸允许 ±2%；不锈钢杆 + 尼龙丝刷毛；刷毛粘接牢固，刷洗不掉丝；可耐受医用消毒，用于气管套管清洗2%；不锈钢杆，尼龙丝刷毛；刷毛牢固，适配细小管体清洗</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59C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03D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46DFF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8ACD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619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拉链</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91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规格：单头开口150cm，材质:锌合金+布边</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3AE9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条</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60C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5BF40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F81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C9E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尼龙闭尾拉链</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E38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规格：15cm  材质:金属拉头+布边</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D89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根</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9CD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61588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1263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595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拉链</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CB46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规格：18cm  材质：金属拉头+布边</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DAD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根</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336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08E0E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63CE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F37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气管套管刷</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8CF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规格：直径10mm，材质:不锈钢杆+尼龙丝</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C90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68B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61CDF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8B9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8F8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艾灸点火器1200W</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7CC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规格：直径约22cm；材质：防烫PC/耐高温微晶面板</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58C9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B27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r>
      <w:tr w14:paraId="41B18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69A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B77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刻度量杯</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81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规格：500ml；材质：食品级PP</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779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A2A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54A32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42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55C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一次性红地毯</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E28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规格：1m*10m；材质：聚酯纤维</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C1D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8B0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r>
      <w:tr w14:paraId="33F88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0779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B01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密封玻璃罐</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C4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规格：100ml；材质：玻璃</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564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5D0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36</w:t>
            </w:r>
          </w:p>
        </w:tc>
      </w:tr>
      <w:tr w14:paraId="39FBF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39F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EB6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痰盂</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3B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规格：11*22*14cm材质：搪瓷</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48E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6DF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0AFB5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9EC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52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脉诊</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FEF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规格：25*12*6.5cm  材质：皮革</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F6A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2CE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r>
      <w:tr w14:paraId="5C73F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5A2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2F1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蜂蜜</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395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规格：500g  配料：蜂蜜</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E14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斤</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887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17B6E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FFA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3905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铜丝除锈刷</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2C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规格：大号；铜丝刷毛；刷柄牢固；适用于金属器械表面除锈除垢</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672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7F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4934D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94A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A38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保鲜袋</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0B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规格：30*20cm 材质：聚乙烯</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6AA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卷</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A7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r>
      <w:tr w14:paraId="477FB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740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4E2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保鲜袋</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80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规格：38*25cm 材质：聚乙烯</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5D3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卷</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08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r>
      <w:tr w14:paraId="5C615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F801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1AF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保鲜密实袋</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A4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规格：17*13*6cm 材质：聚乙烯</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743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卷</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F6D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r>
      <w:tr w14:paraId="6D1C6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3EE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F758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保鲜密实袋</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097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规格：22*17*8cm 材质：聚乙烯</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9A6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卷</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405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r>
      <w:tr w14:paraId="011E8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930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385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保鲜密实袋</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7C1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规格：27*28*8cm 材质：聚乙烯</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F9A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卷</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743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r>
      <w:tr w14:paraId="04491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25C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BCB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撑开器红色</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133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规格：40mm  材质:硅胶</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4E6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EB0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751DD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3042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A2C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撑开器黄色</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F24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规格：70mm  材质:硅胶</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51A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80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53213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C83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158</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C77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撑开器蓝色</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C3D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规格50mm  材质:硅胶</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524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3AC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1D483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0F1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159</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FDC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全棉浴巾</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52A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规格:90cm*180cm，材质:精梳棉</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6C8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640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0310A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AA3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160</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097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黑色毛巾</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8C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规格：35*35cm 材质：微纤维</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30F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68BA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6A68C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E1F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161</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21F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丁腈一次性手套</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52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规格：1盒/30只，约28cm  材质：丁腈</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1E0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380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r>
      <w:tr w14:paraId="168B5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3B7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162</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5A9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乳胶手套</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069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规格：M 码，材质：天然橡胶</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503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311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45242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DEA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163</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4C7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不锈钢置物架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B2D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规格：36*15*10，材质:不锈钢</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361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554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02D91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36C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164</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41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无线门铃</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377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规格：原生态ABS环保树脂（防火等级V2）</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581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9E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53B36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803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165</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672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百洁布海绵擦</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8FF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规格:10*7*2cm .材质:涤纶+金刚砂+海绵</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D5D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FBC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01C9B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BC8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166</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D5F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刮痧板</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42B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规格：V 型，厚度≥8mm；边角圆滑无毛刺，表面抛光，质地坚硬不易崩边碎裂，适用于中医理疗刮痧，成套配置；材质天然水晶（或相当于），提供产品合格证明</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2D4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6FA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r w14:paraId="01344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D9A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167</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573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保温壶</w:t>
            </w:r>
          </w:p>
        </w:tc>
        <w:tc>
          <w:tcPr>
            <w:tcW w:w="3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7EB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规格:2L  材质:304内胆</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F69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CF6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r>
    </w:tbl>
    <w:p w14:paraId="63D7C6FF">
      <w:pPr>
        <w:pStyle w:val="12"/>
        <w:numPr>
          <w:ilvl w:val="0"/>
          <w:numId w:val="0"/>
        </w:numPr>
        <w:rPr>
          <w:rFonts w:hint="default"/>
          <w:lang w:val="en-US" w:eastAsia="zh-CN"/>
        </w:rPr>
      </w:pPr>
    </w:p>
    <w:p w14:paraId="6A0AB451">
      <w:pPr>
        <w:numPr>
          <w:ilvl w:val="0"/>
          <w:numId w:val="0"/>
        </w:numPr>
        <w:spacing w:line="600" w:lineRule="exact"/>
        <w:rPr>
          <w:rFonts w:hint="eastAsia" w:ascii="黑体" w:hAnsi="黑体" w:eastAsia="黑体" w:cs="黑体"/>
          <w:b w:val="0"/>
          <w:bCs w:val="0"/>
          <w:color w:val="000000"/>
          <w:kern w:val="2"/>
          <w:sz w:val="32"/>
          <w:szCs w:val="32"/>
          <w:lang w:val="en-US" w:eastAsia="zh-CN" w:bidi="ar-SA"/>
        </w:rPr>
      </w:pPr>
      <w:r>
        <w:rPr>
          <w:rFonts w:hint="eastAsia" w:ascii="黑体" w:hAnsi="黑体" w:eastAsia="黑体" w:cs="黑体"/>
          <w:b w:val="0"/>
          <w:bCs w:val="0"/>
          <w:color w:val="000000"/>
          <w:kern w:val="2"/>
          <w:sz w:val="32"/>
          <w:szCs w:val="32"/>
          <w:lang w:val="en-US" w:eastAsia="zh-CN" w:bidi="ar-SA"/>
        </w:rPr>
        <w:t>三、服务要求</w:t>
      </w:r>
    </w:p>
    <w:p w14:paraId="61F04207">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1、配送服务要求</w:t>
      </w:r>
    </w:p>
    <w:p w14:paraId="5AF07B6E">
      <w:pPr>
        <w:spacing w:line="360" w:lineRule="auto"/>
        <w:ind w:firstLine="640" w:firstLineChars="200"/>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val="0"/>
          <w:bCs/>
          <w:color w:val="auto"/>
          <w:kern w:val="0"/>
          <w:sz w:val="32"/>
          <w:szCs w:val="32"/>
          <w:lang w:val="en-US" w:eastAsia="zh-CN" w:bidi="ar-SA"/>
        </w:rPr>
        <w:t>1.1 成交供应商必须按照采购人提出的采购需求，在60分钟内送至采购人指定地点。如遇特殊情况，应急配送必须在30分钟内送至采购人指定。每次送货不设最低送货数量标准。</w:t>
      </w:r>
    </w:p>
    <w:p w14:paraId="11CBECB6">
      <w:pPr>
        <w:spacing w:line="360" w:lineRule="auto"/>
        <w:ind w:firstLine="640" w:firstLineChars="200"/>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val="0"/>
          <w:bCs/>
          <w:color w:val="auto"/>
          <w:kern w:val="0"/>
          <w:sz w:val="32"/>
          <w:szCs w:val="32"/>
          <w:lang w:val="en-US" w:eastAsia="zh-CN" w:bidi="ar-SA"/>
        </w:rPr>
        <w:t>1.2 若在收货时采购人发现产品存在质量问题的，采购人有权拒收，且拒收后成交供应商应在1小时内配送质量合格的产品到达收货现场；若收货后采购人发现产品存在质量问题的，成交供应商应在1小时内配送质量合格的产品到达收货现场，同时成交供应商负责人到达现场处理。若没有在规定时间内送达或再次送达产品仍然不达标，成交</w:t>
      </w:r>
      <w:r>
        <w:rPr>
          <w:rFonts w:hint="eastAsia" w:ascii="仿宋" w:hAnsi="仿宋" w:eastAsia="仿宋" w:cs="仿宋"/>
          <w:b w:val="0"/>
          <w:bCs/>
          <w:color w:val="auto"/>
          <w:kern w:val="0"/>
          <w:sz w:val="32"/>
          <w:szCs w:val="32"/>
          <w:lang w:val="en-US" w:eastAsia="zh-Hans" w:bidi="ar-SA"/>
        </w:rPr>
        <w:t>供应商应向采购人支付合同总价</w:t>
      </w:r>
      <w:r>
        <w:rPr>
          <w:rFonts w:hint="eastAsia" w:ascii="仿宋" w:hAnsi="仿宋" w:eastAsia="仿宋" w:cs="仿宋"/>
          <w:b w:val="0"/>
          <w:bCs/>
          <w:color w:val="auto"/>
          <w:kern w:val="0"/>
          <w:sz w:val="32"/>
          <w:szCs w:val="32"/>
          <w:lang w:val="en-US" w:eastAsia="zh-CN" w:bidi="ar-SA"/>
        </w:rPr>
        <w:t>10</w:t>
      </w:r>
      <w:r>
        <w:rPr>
          <w:rFonts w:hint="eastAsia" w:ascii="仿宋" w:hAnsi="仿宋" w:eastAsia="仿宋" w:cs="仿宋"/>
          <w:b w:val="0"/>
          <w:bCs/>
          <w:color w:val="auto"/>
          <w:kern w:val="0"/>
          <w:sz w:val="32"/>
          <w:szCs w:val="32"/>
          <w:lang w:val="en-US" w:eastAsia="zh-Hans" w:bidi="ar-SA"/>
        </w:rPr>
        <w:t>%的违约金，违约金不足以弥补采购人损失的，由</w:t>
      </w:r>
      <w:r>
        <w:rPr>
          <w:rFonts w:hint="eastAsia" w:ascii="仿宋" w:hAnsi="仿宋" w:eastAsia="仿宋" w:cs="仿宋"/>
          <w:b w:val="0"/>
          <w:bCs/>
          <w:color w:val="auto"/>
          <w:kern w:val="0"/>
          <w:sz w:val="32"/>
          <w:szCs w:val="32"/>
          <w:lang w:val="en-US" w:eastAsia="zh-CN" w:bidi="ar-SA"/>
        </w:rPr>
        <w:t>成交供应商负责</w:t>
      </w:r>
      <w:r>
        <w:rPr>
          <w:rFonts w:hint="eastAsia" w:ascii="仿宋" w:hAnsi="仿宋" w:eastAsia="仿宋" w:cs="仿宋"/>
          <w:b w:val="0"/>
          <w:bCs/>
          <w:color w:val="auto"/>
          <w:kern w:val="0"/>
          <w:sz w:val="32"/>
          <w:szCs w:val="32"/>
          <w:lang w:val="en-US" w:eastAsia="zh-Hans" w:bidi="ar-SA"/>
        </w:rPr>
        <w:t>补</w:t>
      </w:r>
      <w:r>
        <w:rPr>
          <w:rFonts w:hint="eastAsia" w:ascii="仿宋" w:hAnsi="仿宋" w:eastAsia="仿宋" w:cs="仿宋"/>
          <w:b w:val="0"/>
          <w:bCs/>
          <w:color w:val="auto"/>
          <w:kern w:val="0"/>
          <w:sz w:val="32"/>
          <w:szCs w:val="32"/>
          <w:lang w:val="en-US" w:eastAsia="zh-CN" w:bidi="ar-SA"/>
        </w:rPr>
        <w:t xml:space="preserve">足。 </w:t>
      </w:r>
    </w:p>
    <w:p w14:paraId="1DFB2D4A">
      <w:pPr>
        <w:spacing w:line="360" w:lineRule="auto"/>
        <w:ind w:firstLine="640" w:firstLineChars="200"/>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val="0"/>
          <w:bCs/>
          <w:color w:val="auto"/>
          <w:kern w:val="0"/>
          <w:sz w:val="32"/>
          <w:szCs w:val="32"/>
          <w:lang w:val="en-US" w:eastAsia="zh-CN" w:bidi="ar-SA"/>
        </w:rPr>
        <w:t>1.3 成交供应商在给</w:t>
      </w:r>
      <w:r>
        <w:rPr>
          <w:rFonts w:hint="eastAsia" w:ascii="仿宋" w:hAnsi="仿宋" w:eastAsia="仿宋" w:cs="仿宋"/>
          <w:b w:val="0"/>
          <w:bCs/>
          <w:color w:val="auto"/>
          <w:kern w:val="0"/>
          <w:sz w:val="32"/>
          <w:szCs w:val="32"/>
          <w:lang w:val="en-US" w:eastAsia="zh-Hans" w:bidi="ar-SA"/>
        </w:rPr>
        <w:t>采购人</w:t>
      </w:r>
      <w:r>
        <w:rPr>
          <w:rFonts w:hint="eastAsia" w:ascii="仿宋" w:hAnsi="仿宋" w:eastAsia="仿宋" w:cs="仿宋"/>
          <w:b w:val="0"/>
          <w:bCs/>
          <w:color w:val="auto"/>
          <w:kern w:val="0"/>
          <w:sz w:val="32"/>
          <w:szCs w:val="32"/>
          <w:lang w:val="en-US" w:eastAsia="zh-CN" w:bidi="ar-SA"/>
        </w:rPr>
        <w:t>提供服务（包括但不限于更换、送货）的过程中</w:t>
      </w:r>
      <w:r>
        <w:rPr>
          <w:rFonts w:hint="eastAsia" w:ascii="仿宋" w:hAnsi="仿宋" w:eastAsia="仿宋" w:cs="仿宋"/>
          <w:b w:val="0"/>
          <w:bCs/>
          <w:color w:val="auto"/>
          <w:kern w:val="0"/>
          <w:sz w:val="32"/>
          <w:szCs w:val="32"/>
          <w:lang w:val="en-US" w:eastAsia="zh-Hans" w:bidi="ar-SA"/>
        </w:rPr>
        <w:t>应</w:t>
      </w:r>
      <w:r>
        <w:rPr>
          <w:rFonts w:hint="eastAsia" w:ascii="仿宋" w:hAnsi="仿宋" w:eastAsia="仿宋" w:cs="仿宋"/>
          <w:b w:val="0"/>
          <w:bCs/>
          <w:color w:val="auto"/>
          <w:kern w:val="0"/>
          <w:sz w:val="32"/>
          <w:szCs w:val="32"/>
          <w:lang w:val="en-US" w:eastAsia="zh-CN" w:bidi="ar-SA"/>
        </w:rPr>
        <w:t>做好安全保障，服务期间所发生的所有安全事故均由成交供应商自行承担。</w:t>
      </w:r>
    </w:p>
    <w:p w14:paraId="0F9E1283">
      <w:pPr>
        <w:pStyle w:val="7"/>
        <w:spacing w:line="360" w:lineRule="auto"/>
        <w:ind w:firstLine="640" w:firstLineChars="200"/>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val="0"/>
          <w:bCs/>
          <w:color w:val="auto"/>
          <w:kern w:val="0"/>
          <w:sz w:val="32"/>
          <w:szCs w:val="32"/>
          <w:lang w:val="en-US" w:eastAsia="zh-CN" w:bidi="ar-SA"/>
        </w:rPr>
        <w:t>1.4成交供应商应保证所提供的服务或其任何一部分均不会侵犯任何第三方的专利权、商标权或著作权。如因此与第三人发生争议、诉讼或仲裁案件，由成交供应商承担全部责任，并负责赔偿采购人由此而遭受的全部损失。</w:t>
      </w:r>
    </w:p>
    <w:p w14:paraId="5E08ECAE">
      <w:pPr>
        <w:pStyle w:val="7"/>
        <w:spacing w:line="360" w:lineRule="auto"/>
        <w:ind w:firstLine="640" w:firstLineChars="200"/>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val="0"/>
          <w:bCs/>
          <w:color w:val="auto"/>
          <w:kern w:val="0"/>
          <w:sz w:val="32"/>
          <w:szCs w:val="32"/>
          <w:lang w:val="en-US" w:eastAsia="zh-CN" w:bidi="ar-SA"/>
        </w:rPr>
        <w:t>1.5成交供应商须提供全新的货物（含零部件、配件、使用说明书等），表面无划伤、无碰撞痕迹，且权属清楚，不得侵害他人的知识产权，并按照相关要求包装完好。成交供应商所提供的货物必须符合或优于地方标准或者其他标准、规范要求，其中所有刷子不得出现刷毛大量脱落；医用清洗刷可耐受医院常规含氯消毒剂浸泡，无锈蚀、掉丝。</w:t>
      </w:r>
    </w:p>
    <w:p w14:paraId="26BFAA26">
      <w:pPr>
        <w:spacing w:line="360" w:lineRule="auto"/>
        <w:ind w:firstLine="321" w:firstLineChars="100"/>
        <w:rPr>
          <w:rFonts w:hint="eastAsia" w:ascii="仿宋" w:hAnsi="仿宋" w:eastAsia="仿宋" w:cs="仿宋"/>
          <w:b/>
          <w:bCs w:val="0"/>
          <w:color w:val="auto"/>
          <w:kern w:val="0"/>
          <w:sz w:val="32"/>
          <w:szCs w:val="32"/>
          <w:lang w:val="en-US" w:eastAsia="zh-CN" w:bidi="ar-SA"/>
        </w:rPr>
      </w:pPr>
      <w:r>
        <w:rPr>
          <w:rFonts w:hint="eastAsia" w:ascii="仿宋" w:hAnsi="仿宋" w:eastAsia="仿宋" w:cs="仿宋"/>
          <w:b/>
          <w:bCs w:val="0"/>
          <w:color w:val="auto"/>
          <w:kern w:val="0"/>
          <w:sz w:val="32"/>
          <w:szCs w:val="32"/>
          <w:lang w:val="en-US" w:eastAsia="zh-CN" w:bidi="ar-SA"/>
        </w:rPr>
        <w:t>2、包装要求</w:t>
      </w:r>
    </w:p>
    <w:p w14:paraId="418F1F44">
      <w:pPr>
        <w:spacing w:line="360" w:lineRule="auto"/>
        <w:ind w:firstLine="513"/>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val="0"/>
          <w:bCs/>
          <w:color w:val="auto"/>
          <w:kern w:val="0"/>
          <w:sz w:val="32"/>
          <w:szCs w:val="32"/>
          <w:lang w:val="en-US" w:eastAsia="zh-CN" w:bidi="ar-SA"/>
        </w:rPr>
        <w:t>成交供应商在提供产品及相关快递服务时，涉及包装的，具体包装要求需严格按照“商品包装政府采购需求标准（试行）”及“快递包装政府采购需求标准（试行）”执行。</w:t>
      </w:r>
    </w:p>
    <w:p w14:paraId="120B1BFE">
      <w:pPr>
        <w:spacing w:line="360" w:lineRule="auto"/>
        <w:ind w:firstLine="321" w:firstLineChars="100"/>
        <w:rPr>
          <w:rFonts w:hint="eastAsia" w:ascii="仿宋" w:hAnsi="仿宋" w:eastAsia="仿宋" w:cs="仿宋"/>
          <w:b/>
          <w:bCs w:val="0"/>
          <w:color w:val="auto"/>
          <w:kern w:val="0"/>
          <w:sz w:val="32"/>
          <w:szCs w:val="32"/>
          <w:lang w:val="en-US" w:eastAsia="zh-CN" w:bidi="ar-SA"/>
        </w:rPr>
      </w:pPr>
      <w:r>
        <w:rPr>
          <w:rFonts w:hint="eastAsia" w:ascii="仿宋" w:hAnsi="仿宋" w:eastAsia="仿宋" w:cs="仿宋"/>
          <w:b/>
          <w:bCs w:val="0"/>
          <w:color w:val="auto"/>
          <w:kern w:val="0"/>
          <w:sz w:val="32"/>
          <w:szCs w:val="32"/>
          <w:lang w:val="en-US" w:eastAsia="zh-CN" w:bidi="ar-SA"/>
        </w:rPr>
        <w:t>3、其他要求</w:t>
      </w:r>
    </w:p>
    <w:p w14:paraId="636667D6">
      <w:pPr>
        <w:spacing w:line="360" w:lineRule="auto"/>
        <w:ind w:firstLine="640" w:firstLineChars="200"/>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val="0"/>
          <w:bCs/>
          <w:color w:val="auto"/>
          <w:kern w:val="0"/>
          <w:sz w:val="32"/>
          <w:szCs w:val="32"/>
          <w:lang w:val="en-US" w:eastAsia="zh-CN" w:bidi="ar-SA"/>
        </w:rPr>
        <w:t>3.1在服务期内，因成交供应商自身原因造成采购合同终止，因此产生的所有经济损失由成交供应商自行承担，如给采购人造成经济损失的，成交供应商</w:t>
      </w:r>
      <w:r>
        <w:rPr>
          <w:rFonts w:hint="eastAsia" w:ascii="仿宋" w:hAnsi="仿宋" w:eastAsia="仿宋" w:cs="仿宋"/>
          <w:b w:val="0"/>
          <w:bCs/>
          <w:color w:val="auto"/>
          <w:kern w:val="0"/>
          <w:sz w:val="32"/>
          <w:szCs w:val="32"/>
          <w:lang w:val="en-US" w:eastAsia="zh-Hans" w:bidi="ar-SA"/>
        </w:rPr>
        <w:t>应赔偿采购人全部损失</w:t>
      </w:r>
      <w:r>
        <w:rPr>
          <w:rFonts w:hint="eastAsia" w:ascii="仿宋" w:hAnsi="仿宋" w:eastAsia="仿宋" w:cs="仿宋"/>
          <w:b w:val="0"/>
          <w:bCs/>
          <w:color w:val="auto"/>
          <w:kern w:val="0"/>
          <w:sz w:val="32"/>
          <w:szCs w:val="32"/>
          <w:lang w:val="en-US" w:eastAsia="zh-CN" w:bidi="ar-SA"/>
        </w:rPr>
        <w:t>。</w:t>
      </w:r>
    </w:p>
    <w:p w14:paraId="792D97F6">
      <w:pPr>
        <w:spacing w:line="360" w:lineRule="auto"/>
        <w:ind w:firstLine="513"/>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val="0"/>
          <w:bCs/>
          <w:color w:val="auto"/>
          <w:kern w:val="0"/>
          <w:sz w:val="32"/>
          <w:szCs w:val="32"/>
          <w:lang w:val="en-US" w:eastAsia="zh-CN" w:bidi="ar-SA"/>
        </w:rPr>
        <w:t>3.2成交供应商须指派专人负责与采购人联系配送服务事宜。（须提供人员名单，内容包含但不限于：姓名、联系电话、家庭住址、身份证明材料等）</w:t>
      </w:r>
    </w:p>
    <w:p w14:paraId="4C5717E7">
      <w:pPr>
        <w:widowControl/>
        <w:spacing w:line="360" w:lineRule="auto"/>
        <w:ind w:firstLine="643" w:firstLineChars="200"/>
        <w:jc w:val="left"/>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bCs w:val="0"/>
          <w:color w:val="auto"/>
          <w:kern w:val="0"/>
          <w:sz w:val="32"/>
          <w:szCs w:val="32"/>
          <w:lang w:val="en-US" w:eastAsia="zh-CN" w:bidi="ar-SA"/>
        </w:rPr>
        <w:t>4、质量保证期：</w:t>
      </w:r>
      <w:r>
        <w:rPr>
          <w:rFonts w:hint="eastAsia" w:ascii="仿宋" w:hAnsi="仿宋" w:eastAsia="仿宋" w:cs="仿宋"/>
          <w:b w:val="0"/>
          <w:bCs/>
          <w:color w:val="auto"/>
          <w:kern w:val="0"/>
          <w:sz w:val="32"/>
          <w:szCs w:val="32"/>
          <w:lang w:val="en-US" w:eastAsia="zh-CN" w:bidi="ar-SA"/>
        </w:rPr>
        <w:t>从验收合格之日起所有产品有国家强制性标准或规范的，从其规定。</w:t>
      </w:r>
    </w:p>
    <w:p w14:paraId="541037CD">
      <w:pPr>
        <w:widowControl/>
        <w:spacing w:line="360" w:lineRule="auto"/>
        <w:ind w:firstLine="513"/>
        <w:jc w:val="left"/>
        <w:rPr>
          <w:rFonts w:hint="eastAsia" w:ascii="黑体" w:hAnsi="黑体" w:eastAsia="黑体" w:cs="黑体"/>
          <w:b w:val="0"/>
          <w:bCs/>
          <w:color w:val="auto"/>
          <w:kern w:val="0"/>
          <w:sz w:val="28"/>
          <w:szCs w:val="28"/>
          <w:lang w:val="en-US" w:eastAsia="zh-CN" w:bidi="ar-SA"/>
        </w:rPr>
      </w:pPr>
      <w:r>
        <w:rPr>
          <w:rFonts w:hint="eastAsia" w:ascii="仿宋" w:hAnsi="仿宋" w:eastAsia="仿宋" w:cs="仿宋"/>
          <w:b/>
          <w:bCs w:val="0"/>
          <w:color w:val="auto"/>
          <w:kern w:val="0"/>
          <w:sz w:val="32"/>
          <w:szCs w:val="32"/>
          <w:lang w:val="en-US" w:eastAsia="zh-CN" w:bidi="ar-SA"/>
        </w:rPr>
        <w:t>四、考核</w:t>
      </w:r>
      <w:r>
        <w:rPr>
          <w:rFonts w:hint="eastAsia" w:ascii="仿宋" w:hAnsi="仿宋" w:eastAsia="仿宋" w:cs="仿宋"/>
          <w:b/>
          <w:bCs w:val="0"/>
          <w:color w:val="auto"/>
          <w:kern w:val="0"/>
          <w:sz w:val="32"/>
          <w:szCs w:val="32"/>
          <w:lang w:val="en-US" w:eastAsia="zh-Hans" w:bidi="ar-SA"/>
        </w:rPr>
        <w:t>及违约金的支付</w:t>
      </w:r>
    </w:p>
    <w:p w14:paraId="14FAE7EE">
      <w:pPr>
        <w:spacing w:line="360" w:lineRule="auto"/>
        <w:ind w:firstLine="640" w:firstLineChars="200"/>
        <w:rPr>
          <w:rFonts w:hint="eastAsia" w:ascii="仿宋" w:hAnsi="仿宋" w:eastAsia="仿宋" w:cs="仿宋"/>
          <w:b w:val="0"/>
          <w:bCs/>
          <w:color w:val="auto"/>
          <w:kern w:val="0"/>
          <w:sz w:val="32"/>
          <w:szCs w:val="32"/>
          <w:lang w:val="en-US" w:eastAsia="zh-Hans" w:bidi="ar-SA"/>
        </w:rPr>
      </w:pPr>
      <w:r>
        <w:rPr>
          <w:rFonts w:hint="eastAsia" w:ascii="仿宋" w:hAnsi="仿宋" w:eastAsia="仿宋" w:cs="仿宋"/>
          <w:b w:val="0"/>
          <w:bCs/>
          <w:color w:val="auto"/>
          <w:kern w:val="0"/>
          <w:sz w:val="32"/>
          <w:szCs w:val="32"/>
          <w:lang w:val="en-US" w:eastAsia="zh-CN" w:bidi="ar-SA"/>
        </w:rPr>
        <w:t>项目服务期间，为了及时了解成交供应商履行合同的情况，</w:t>
      </w:r>
      <w:r>
        <w:rPr>
          <w:rFonts w:hint="eastAsia" w:ascii="仿宋" w:hAnsi="仿宋" w:eastAsia="仿宋" w:cs="仿宋"/>
          <w:b w:val="0"/>
          <w:bCs/>
          <w:color w:val="auto"/>
          <w:kern w:val="0"/>
          <w:sz w:val="32"/>
          <w:szCs w:val="32"/>
          <w:lang w:val="en-US" w:eastAsia="zh-Hans" w:bidi="ar-SA"/>
        </w:rPr>
        <w:t>采购</w:t>
      </w:r>
      <w:r>
        <w:rPr>
          <w:rFonts w:hint="eastAsia" w:ascii="仿宋" w:hAnsi="仿宋" w:eastAsia="仿宋" w:cs="仿宋"/>
          <w:b w:val="0"/>
          <w:bCs/>
          <w:color w:val="auto"/>
          <w:kern w:val="0"/>
          <w:sz w:val="32"/>
          <w:szCs w:val="32"/>
          <w:lang w:val="en-US" w:eastAsia="zh-CN" w:bidi="ar-SA"/>
        </w:rPr>
        <w:t>人对成交供应商采取日常验收抽查和月度考评相结合的方式进行考核，</w:t>
      </w:r>
      <w:r>
        <w:rPr>
          <w:rFonts w:hint="eastAsia" w:ascii="仿宋" w:hAnsi="仿宋" w:eastAsia="仿宋" w:cs="仿宋"/>
          <w:b w:val="0"/>
          <w:bCs/>
          <w:color w:val="auto"/>
          <w:kern w:val="0"/>
          <w:sz w:val="32"/>
          <w:szCs w:val="32"/>
          <w:lang w:val="en-US" w:eastAsia="zh-Hans" w:bidi="ar-SA"/>
        </w:rPr>
        <w:t>在合同实际履行过程中，</w:t>
      </w:r>
      <w:r>
        <w:rPr>
          <w:rFonts w:hint="eastAsia" w:ascii="仿宋" w:hAnsi="仿宋" w:eastAsia="仿宋" w:cs="仿宋"/>
          <w:b w:val="0"/>
          <w:bCs/>
          <w:color w:val="auto"/>
          <w:kern w:val="0"/>
          <w:sz w:val="32"/>
          <w:szCs w:val="32"/>
          <w:lang w:val="en-US" w:eastAsia="zh-CN" w:bidi="ar-SA"/>
        </w:rPr>
        <w:t>采购人有权</w:t>
      </w:r>
      <w:r>
        <w:rPr>
          <w:rFonts w:hint="eastAsia" w:ascii="仿宋" w:hAnsi="仿宋" w:eastAsia="仿宋" w:cs="仿宋"/>
          <w:b w:val="0"/>
          <w:bCs/>
          <w:color w:val="auto"/>
          <w:kern w:val="0"/>
          <w:sz w:val="32"/>
          <w:szCs w:val="32"/>
          <w:lang w:val="en-US" w:eastAsia="zh-Hans" w:bidi="ar-SA"/>
        </w:rPr>
        <w:t>根据合同实际履行的情况</w:t>
      </w:r>
      <w:r>
        <w:rPr>
          <w:rFonts w:hint="eastAsia" w:ascii="仿宋" w:hAnsi="仿宋" w:eastAsia="仿宋" w:cs="仿宋"/>
          <w:b w:val="0"/>
          <w:bCs/>
          <w:color w:val="auto"/>
          <w:kern w:val="0"/>
          <w:sz w:val="32"/>
          <w:szCs w:val="32"/>
          <w:lang w:val="en-US" w:eastAsia="zh-CN" w:bidi="ar-SA"/>
        </w:rPr>
        <w:t>对综合考核标准进行修改调整（后附综合考核标准样本）</w:t>
      </w:r>
      <w:r>
        <w:rPr>
          <w:rFonts w:hint="eastAsia" w:ascii="仿宋" w:hAnsi="仿宋" w:eastAsia="仿宋" w:cs="仿宋"/>
          <w:b w:val="0"/>
          <w:bCs/>
          <w:color w:val="auto"/>
          <w:kern w:val="0"/>
          <w:sz w:val="32"/>
          <w:szCs w:val="32"/>
          <w:lang w:val="en-US" w:eastAsia="zh-Hans" w:bidi="ar-SA"/>
        </w:rPr>
        <w:t>。考核所涉及的违约金，</w:t>
      </w:r>
      <w:r>
        <w:rPr>
          <w:rFonts w:hint="eastAsia" w:ascii="仿宋" w:hAnsi="仿宋" w:eastAsia="仿宋" w:cs="仿宋"/>
          <w:b w:val="0"/>
          <w:bCs/>
          <w:color w:val="auto"/>
          <w:kern w:val="0"/>
          <w:sz w:val="32"/>
          <w:szCs w:val="32"/>
          <w:lang w:val="en-US" w:eastAsia="zh-CN" w:bidi="ar-SA"/>
        </w:rPr>
        <w:t>成交供应商</w:t>
      </w:r>
      <w:r>
        <w:rPr>
          <w:rFonts w:hint="eastAsia" w:ascii="仿宋" w:hAnsi="仿宋" w:eastAsia="仿宋" w:cs="仿宋"/>
          <w:b w:val="0"/>
          <w:bCs/>
          <w:color w:val="auto"/>
          <w:kern w:val="0"/>
          <w:sz w:val="32"/>
          <w:szCs w:val="32"/>
          <w:lang w:val="en-US" w:eastAsia="zh-Hans" w:bidi="ar-SA"/>
        </w:rPr>
        <w:t>应在采购人考核完成后【</w:t>
      </w:r>
      <w:r>
        <w:rPr>
          <w:rFonts w:hint="eastAsia" w:ascii="仿宋" w:hAnsi="仿宋" w:eastAsia="仿宋" w:cs="仿宋"/>
          <w:b w:val="0"/>
          <w:bCs/>
          <w:color w:val="auto"/>
          <w:kern w:val="0"/>
          <w:sz w:val="32"/>
          <w:szCs w:val="32"/>
          <w:lang w:val="en-US" w:eastAsia="zh-CN" w:bidi="ar-SA"/>
        </w:rPr>
        <w:t>30</w:t>
      </w:r>
      <w:r>
        <w:rPr>
          <w:rFonts w:hint="eastAsia" w:ascii="仿宋" w:hAnsi="仿宋" w:eastAsia="仿宋" w:cs="仿宋"/>
          <w:b w:val="0"/>
          <w:bCs/>
          <w:color w:val="auto"/>
          <w:kern w:val="0"/>
          <w:sz w:val="32"/>
          <w:szCs w:val="32"/>
          <w:lang w:val="en-US" w:eastAsia="zh-Hans" w:bidi="ar-SA"/>
        </w:rPr>
        <w:t>】日内支付至采购人指定账户。</w:t>
      </w:r>
    </w:p>
    <w:p w14:paraId="15DD30B9">
      <w:pPr>
        <w:spacing w:line="360" w:lineRule="auto"/>
        <w:ind w:firstLine="640" w:firstLineChars="200"/>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val="0"/>
          <w:bCs/>
          <w:color w:val="auto"/>
          <w:kern w:val="0"/>
          <w:sz w:val="32"/>
          <w:szCs w:val="32"/>
          <w:lang w:val="en-US" w:eastAsia="zh-CN" w:bidi="ar-SA"/>
        </w:rPr>
        <w:t>一）月度考评：</w:t>
      </w:r>
    </w:p>
    <w:p w14:paraId="2D8623B4">
      <w:pPr>
        <w:spacing w:line="360" w:lineRule="auto"/>
        <w:ind w:firstLine="640" w:firstLineChars="200"/>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val="0"/>
          <w:bCs/>
          <w:color w:val="auto"/>
          <w:kern w:val="0"/>
          <w:sz w:val="32"/>
          <w:szCs w:val="32"/>
          <w:lang w:val="en-US" w:eastAsia="zh-CN" w:bidi="ar-SA"/>
        </w:rPr>
        <w:t>考核表作为支付当月配送货款的主要依据由采购人将日常检查扣分结果进行汇总，按考核扣分档次支付当月</w:t>
      </w:r>
      <w:r>
        <w:rPr>
          <w:rFonts w:hint="eastAsia" w:ascii="仿宋" w:hAnsi="仿宋" w:eastAsia="仿宋" w:cs="仿宋"/>
          <w:b w:val="0"/>
          <w:bCs/>
          <w:color w:val="auto"/>
          <w:kern w:val="0"/>
          <w:sz w:val="32"/>
          <w:szCs w:val="32"/>
          <w:lang w:val="en-US" w:eastAsia="zh-Hans" w:bidi="ar-SA"/>
        </w:rPr>
        <w:t>配送</w:t>
      </w:r>
      <w:r>
        <w:rPr>
          <w:rFonts w:hint="eastAsia" w:ascii="仿宋" w:hAnsi="仿宋" w:eastAsia="仿宋" w:cs="仿宋"/>
          <w:b w:val="0"/>
          <w:bCs/>
          <w:color w:val="auto"/>
          <w:kern w:val="0"/>
          <w:sz w:val="32"/>
          <w:szCs w:val="32"/>
          <w:lang w:val="en-US" w:eastAsia="zh-CN" w:bidi="ar-SA"/>
        </w:rPr>
        <w:t>产品货款：</w:t>
      </w:r>
    </w:p>
    <w:p w14:paraId="6E0877AD">
      <w:pPr>
        <w:spacing w:line="360" w:lineRule="auto"/>
        <w:ind w:firstLine="640" w:firstLineChars="200"/>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val="0"/>
          <w:bCs/>
          <w:color w:val="auto"/>
          <w:kern w:val="0"/>
          <w:sz w:val="32"/>
          <w:szCs w:val="32"/>
          <w:lang w:val="en-US" w:eastAsia="zh-CN" w:bidi="ar-SA"/>
        </w:rPr>
        <w:t>根据日常考核扣分结果汇总出月度考核扣分情况。当月度得95分及以上的，当月</w:t>
      </w:r>
      <w:r>
        <w:rPr>
          <w:rFonts w:hint="eastAsia" w:ascii="仿宋" w:hAnsi="仿宋" w:eastAsia="仿宋" w:cs="仿宋"/>
          <w:b w:val="0"/>
          <w:bCs/>
          <w:color w:val="auto"/>
          <w:kern w:val="0"/>
          <w:sz w:val="32"/>
          <w:szCs w:val="32"/>
          <w:lang w:val="en-US" w:eastAsia="zh-Hans" w:bidi="ar-SA"/>
        </w:rPr>
        <w:t>配送</w:t>
      </w:r>
      <w:r>
        <w:rPr>
          <w:rFonts w:hint="eastAsia" w:ascii="仿宋" w:hAnsi="仿宋" w:eastAsia="仿宋" w:cs="仿宋"/>
          <w:b w:val="0"/>
          <w:bCs/>
          <w:color w:val="auto"/>
          <w:kern w:val="0"/>
          <w:sz w:val="32"/>
          <w:szCs w:val="32"/>
          <w:lang w:val="en-US" w:eastAsia="zh-CN" w:bidi="ar-SA"/>
        </w:rPr>
        <w:t>的产品货款按合同约定金额全额向成交供应商支付</w:t>
      </w:r>
      <w:r>
        <w:rPr>
          <w:rFonts w:hint="eastAsia" w:ascii="仿宋" w:hAnsi="仿宋" w:eastAsia="仿宋" w:cs="仿宋"/>
          <w:b w:val="0"/>
          <w:bCs/>
          <w:color w:val="auto"/>
          <w:kern w:val="0"/>
          <w:sz w:val="32"/>
          <w:szCs w:val="32"/>
          <w:lang w:val="en-US" w:eastAsia="zh-Hans" w:bidi="ar-SA"/>
        </w:rPr>
        <w:t>；</w:t>
      </w:r>
      <w:r>
        <w:rPr>
          <w:rFonts w:hint="eastAsia" w:ascii="仿宋" w:hAnsi="仿宋" w:eastAsia="仿宋" w:cs="仿宋"/>
          <w:b w:val="0"/>
          <w:bCs/>
          <w:color w:val="auto"/>
          <w:kern w:val="0"/>
          <w:sz w:val="32"/>
          <w:szCs w:val="32"/>
          <w:lang w:val="en-US" w:eastAsia="zh-CN" w:bidi="ar-SA"/>
        </w:rPr>
        <w:t>当月度得90分至94分的，每</w:t>
      </w:r>
      <w:r>
        <w:rPr>
          <w:rFonts w:hint="eastAsia" w:ascii="仿宋" w:hAnsi="仿宋" w:eastAsia="仿宋" w:cs="仿宋"/>
          <w:b w:val="0"/>
          <w:bCs/>
          <w:color w:val="auto"/>
          <w:kern w:val="0"/>
          <w:sz w:val="32"/>
          <w:szCs w:val="32"/>
          <w:lang w:val="en-US" w:eastAsia="zh-Hans" w:bidi="ar-SA"/>
        </w:rPr>
        <w:t>比9</w:t>
      </w:r>
      <w:r>
        <w:rPr>
          <w:rFonts w:hint="eastAsia" w:ascii="仿宋" w:hAnsi="仿宋" w:eastAsia="仿宋" w:cs="仿宋"/>
          <w:b w:val="0"/>
          <w:bCs/>
          <w:color w:val="auto"/>
          <w:kern w:val="0"/>
          <w:sz w:val="32"/>
          <w:szCs w:val="32"/>
          <w:lang w:val="en-US" w:eastAsia="zh-CN" w:bidi="ar-SA"/>
        </w:rPr>
        <w:t>4</w:t>
      </w:r>
      <w:r>
        <w:rPr>
          <w:rFonts w:hint="eastAsia" w:ascii="仿宋" w:hAnsi="仿宋" w:eastAsia="仿宋" w:cs="仿宋"/>
          <w:b w:val="0"/>
          <w:bCs/>
          <w:color w:val="auto"/>
          <w:kern w:val="0"/>
          <w:sz w:val="32"/>
          <w:szCs w:val="32"/>
          <w:lang w:val="en-US" w:eastAsia="zh-Hans" w:bidi="ar-SA"/>
        </w:rPr>
        <w:t>分</w:t>
      </w:r>
      <w:r>
        <w:rPr>
          <w:rFonts w:hint="eastAsia" w:ascii="仿宋" w:hAnsi="仿宋" w:eastAsia="仿宋" w:cs="仿宋"/>
          <w:b w:val="0"/>
          <w:bCs/>
          <w:color w:val="auto"/>
          <w:kern w:val="0"/>
          <w:sz w:val="32"/>
          <w:szCs w:val="32"/>
          <w:lang w:val="en-US" w:eastAsia="zh-CN" w:bidi="ar-SA"/>
        </w:rPr>
        <w:t>（含94分）</w:t>
      </w:r>
      <w:r>
        <w:rPr>
          <w:rFonts w:hint="eastAsia" w:ascii="仿宋" w:hAnsi="仿宋" w:eastAsia="仿宋" w:cs="仿宋"/>
          <w:b w:val="0"/>
          <w:bCs/>
          <w:color w:val="auto"/>
          <w:kern w:val="0"/>
          <w:sz w:val="32"/>
          <w:szCs w:val="32"/>
          <w:lang w:val="en-US" w:eastAsia="zh-Hans" w:bidi="ar-SA"/>
        </w:rPr>
        <w:t>低</w:t>
      </w:r>
      <w:r>
        <w:rPr>
          <w:rFonts w:hint="eastAsia" w:ascii="仿宋" w:hAnsi="仿宋" w:eastAsia="仿宋" w:cs="仿宋"/>
          <w:b w:val="0"/>
          <w:bCs/>
          <w:color w:val="auto"/>
          <w:kern w:val="0"/>
          <w:sz w:val="32"/>
          <w:szCs w:val="32"/>
          <w:lang w:val="en-US" w:eastAsia="zh-CN" w:bidi="ar-SA"/>
        </w:rPr>
        <w:t>1分</w:t>
      </w:r>
      <w:r>
        <w:rPr>
          <w:rFonts w:hint="eastAsia" w:ascii="仿宋" w:hAnsi="仿宋" w:eastAsia="仿宋" w:cs="仿宋"/>
          <w:b w:val="0"/>
          <w:bCs/>
          <w:color w:val="auto"/>
          <w:kern w:val="0"/>
          <w:sz w:val="32"/>
          <w:szCs w:val="32"/>
          <w:lang w:val="en-US" w:eastAsia="zh-Hans" w:bidi="ar-SA"/>
        </w:rPr>
        <w:t>，</w:t>
      </w:r>
      <w:r>
        <w:rPr>
          <w:rFonts w:hint="eastAsia" w:ascii="仿宋" w:hAnsi="仿宋" w:eastAsia="仿宋" w:cs="仿宋"/>
          <w:b w:val="0"/>
          <w:bCs/>
          <w:color w:val="auto"/>
          <w:kern w:val="0"/>
          <w:sz w:val="32"/>
          <w:szCs w:val="32"/>
          <w:lang w:val="en-US" w:eastAsia="zh-CN" w:bidi="ar-SA"/>
        </w:rPr>
        <w:t>成交供应商</w:t>
      </w:r>
      <w:r>
        <w:rPr>
          <w:rFonts w:hint="eastAsia" w:ascii="仿宋" w:hAnsi="仿宋" w:eastAsia="仿宋" w:cs="仿宋"/>
          <w:b w:val="0"/>
          <w:bCs/>
          <w:color w:val="auto"/>
          <w:kern w:val="0"/>
          <w:sz w:val="32"/>
          <w:szCs w:val="32"/>
          <w:lang w:val="en-US" w:eastAsia="zh-Hans" w:bidi="ar-SA"/>
        </w:rPr>
        <w:t>应支付</w:t>
      </w:r>
      <w:r>
        <w:rPr>
          <w:rFonts w:hint="eastAsia" w:ascii="仿宋" w:hAnsi="仿宋" w:eastAsia="仿宋" w:cs="仿宋"/>
          <w:b w:val="0"/>
          <w:bCs/>
          <w:color w:val="auto"/>
          <w:kern w:val="0"/>
          <w:sz w:val="32"/>
          <w:szCs w:val="32"/>
          <w:lang w:val="en-US" w:eastAsia="zh-CN" w:bidi="ar-SA"/>
        </w:rPr>
        <w:t>500元/</w:t>
      </w:r>
      <w:r>
        <w:rPr>
          <w:rFonts w:hint="eastAsia" w:ascii="仿宋" w:hAnsi="仿宋" w:eastAsia="仿宋" w:cs="仿宋"/>
          <w:b w:val="0"/>
          <w:bCs/>
          <w:color w:val="auto"/>
          <w:kern w:val="0"/>
          <w:sz w:val="32"/>
          <w:szCs w:val="32"/>
          <w:lang w:val="en-US" w:eastAsia="zh-Hans" w:bidi="ar-SA"/>
        </w:rPr>
        <w:t>分的违约金</w:t>
      </w:r>
      <w:r>
        <w:rPr>
          <w:rFonts w:hint="eastAsia" w:ascii="仿宋" w:hAnsi="仿宋" w:eastAsia="仿宋" w:cs="仿宋"/>
          <w:b w:val="0"/>
          <w:bCs/>
          <w:color w:val="auto"/>
          <w:kern w:val="0"/>
          <w:sz w:val="32"/>
          <w:szCs w:val="32"/>
          <w:lang w:val="en-US" w:eastAsia="zh-CN" w:bidi="ar-SA"/>
        </w:rPr>
        <w:t>；当月度得90分以下的，则扣发当月</w:t>
      </w:r>
      <w:r>
        <w:rPr>
          <w:rFonts w:hint="eastAsia" w:ascii="仿宋" w:hAnsi="仿宋" w:eastAsia="仿宋" w:cs="仿宋"/>
          <w:b w:val="0"/>
          <w:bCs/>
          <w:color w:val="auto"/>
          <w:kern w:val="0"/>
          <w:sz w:val="32"/>
          <w:szCs w:val="32"/>
          <w:lang w:val="en-US" w:eastAsia="zh-Hans" w:bidi="ar-SA"/>
        </w:rPr>
        <w:t>应付款</w:t>
      </w:r>
      <w:r>
        <w:rPr>
          <w:rFonts w:hint="eastAsia" w:ascii="仿宋" w:hAnsi="仿宋" w:eastAsia="仿宋" w:cs="仿宋"/>
          <w:b w:val="0"/>
          <w:bCs/>
          <w:color w:val="auto"/>
          <w:kern w:val="0"/>
          <w:sz w:val="32"/>
          <w:szCs w:val="32"/>
          <w:lang w:val="en-US" w:eastAsia="zh-CN" w:bidi="ar-SA"/>
        </w:rPr>
        <w:t>的20%但不低于1000元的违约金，成交供应商须就相关问题向采购人提交问题整改报告</w:t>
      </w:r>
      <w:r>
        <w:rPr>
          <w:rFonts w:hint="eastAsia" w:ascii="仿宋" w:hAnsi="仿宋" w:eastAsia="仿宋" w:cs="仿宋"/>
          <w:b w:val="0"/>
          <w:bCs/>
          <w:color w:val="auto"/>
          <w:kern w:val="0"/>
          <w:sz w:val="32"/>
          <w:szCs w:val="32"/>
          <w:lang w:val="en-US" w:eastAsia="zh-Hans" w:bidi="ar-SA"/>
        </w:rPr>
        <w:t>；若连续</w:t>
      </w:r>
      <w:r>
        <w:rPr>
          <w:rFonts w:hint="eastAsia" w:ascii="仿宋" w:hAnsi="仿宋" w:eastAsia="仿宋" w:cs="仿宋"/>
          <w:b w:val="0"/>
          <w:bCs/>
          <w:color w:val="auto"/>
          <w:kern w:val="0"/>
          <w:sz w:val="32"/>
          <w:szCs w:val="32"/>
          <w:lang w:val="en-US" w:eastAsia="zh-CN" w:bidi="ar-SA"/>
        </w:rPr>
        <w:t>2</w:t>
      </w:r>
      <w:r>
        <w:rPr>
          <w:rFonts w:hint="eastAsia" w:ascii="仿宋" w:hAnsi="仿宋" w:eastAsia="仿宋" w:cs="仿宋"/>
          <w:b w:val="0"/>
          <w:bCs/>
          <w:color w:val="auto"/>
          <w:kern w:val="0"/>
          <w:sz w:val="32"/>
          <w:szCs w:val="32"/>
          <w:lang w:val="en-US" w:eastAsia="zh-Hans" w:bidi="ar-SA"/>
        </w:rPr>
        <w:t>个月月度得分均在90分以下，采购人有权单方面解除合同</w:t>
      </w:r>
      <w:r>
        <w:rPr>
          <w:rFonts w:hint="eastAsia" w:ascii="仿宋" w:hAnsi="仿宋" w:eastAsia="仿宋" w:cs="仿宋"/>
          <w:b w:val="0"/>
          <w:bCs/>
          <w:color w:val="auto"/>
          <w:kern w:val="0"/>
          <w:sz w:val="32"/>
          <w:szCs w:val="32"/>
          <w:lang w:val="en-US" w:eastAsia="zh-CN" w:bidi="ar-SA"/>
        </w:rPr>
        <w:t>且不承担任何违约责任。</w:t>
      </w:r>
    </w:p>
    <w:p w14:paraId="1ED48C75">
      <w:pPr>
        <w:spacing w:line="360" w:lineRule="auto"/>
        <w:ind w:firstLine="640" w:firstLineChars="200"/>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val="0"/>
          <w:bCs/>
          <w:color w:val="auto"/>
          <w:kern w:val="0"/>
          <w:sz w:val="32"/>
          <w:szCs w:val="32"/>
          <w:lang w:val="en-US" w:eastAsia="zh-CN" w:bidi="ar-SA"/>
        </w:rPr>
        <w:t>二）退出机制：</w:t>
      </w:r>
    </w:p>
    <w:p w14:paraId="4801EAD9">
      <w:pPr>
        <w:spacing w:line="360" w:lineRule="auto"/>
        <w:ind w:firstLine="640" w:firstLineChars="200"/>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val="0"/>
          <w:bCs/>
          <w:color w:val="auto"/>
          <w:kern w:val="0"/>
          <w:sz w:val="32"/>
          <w:szCs w:val="32"/>
          <w:lang w:val="en-US" w:eastAsia="zh-CN" w:bidi="ar-SA"/>
        </w:rPr>
        <w:t>1、因成交供应商原因导致采购人蒙受重大经济、名誉损失的。</w:t>
      </w:r>
    </w:p>
    <w:p w14:paraId="306D641C">
      <w:pPr>
        <w:spacing w:line="360" w:lineRule="auto"/>
        <w:ind w:firstLine="640" w:firstLineChars="200"/>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val="0"/>
          <w:bCs/>
          <w:color w:val="auto"/>
          <w:kern w:val="0"/>
          <w:sz w:val="32"/>
          <w:szCs w:val="32"/>
          <w:lang w:val="en-US" w:eastAsia="zh-CN" w:bidi="ar-SA"/>
        </w:rPr>
        <w:t>2、成交供应商违反国家法律及地方政府相关规定，且情节严重的。</w:t>
      </w:r>
    </w:p>
    <w:p w14:paraId="1D4220D8">
      <w:pPr>
        <w:spacing w:line="360" w:lineRule="auto"/>
        <w:ind w:firstLine="640" w:firstLineChars="200"/>
        <w:rPr>
          <w:rFonts w:hint="eastAsia" w:ascii="仿宋" w:hAnsi="仿宋" w:eastAsia="仿宋" w:cs="仿宋"/>
          <w:b w:val="0"/>
          <w:bCs/>
          <w:color w:val="auto"/>
          <w:kern w:val="0"/>
          <w:sz w:val="32"/>
          <w:szCs w:val="32"/>
          <w:lang w:val="en-US" w:eastAsia="zh-CN" w:bidi="ar-SA"/>
        </w:rPr>
      </w:pPr>
      <w:r>
        <w:rPr>
          <w:rFonts w:hint="eastAsia" w:ascii="仿宋" w:hAnsi="仿宋" w:eastAsia="仿宋" w:cs="仿宋"/>
          <w:b w:val="0"/>
          <w:bCs/>
          <w:color w:val="auto"/>
          <w:kern w:val="0"/>
          <w:sz w:val="32"/>
          <w:szCs w:val="32"/>
          <w:lang w:val="en-US" w:eastAsia="zh-CN" w:bidi="ar-SA"/>
        </w:rPr>
        <w:t>3、连续2个月度考核得分90分以下的，采购人有权</w:t>
      </w:r>
      <w:r>
        <w:rPr>
          <w:rFonts w:hint="eastAsia" w:ascii="仿宋" w:hAnsi="仿宋" w:eastAsia="仿宋" w:cs="仿宋"/>
          <w:b w:val="0"/>
          <w:bCs/>
          <w:color w:val="auto"/>
          <w:kern w:val="0"/>
          <w:sz w:val="32"/>
          <w:szCs w:val="32"/>
          <w:lang w:val="en-US" w:eastAsia="zh-Hans" w:bidi="ar-SA"/>
        </w:rPr>
        <w:t>单方面解除</w:t>
      </w:r>
      <w:r>
        <w:rPr>
          <w:rFonts w:hint="eastAsia" w:ascii="仿宋" w:hAnsi="仿宋" w:eastAsia="仿宋" w:cs="仿宋"/>
          <w:b w:val="0"/>
          <w:bCs/>
          <w:color w:val="auto"/>
          <w:kern w:val="0"/>
          <w:sz w:val="32"/>
          <w:szCs w:val="32"/>
          <w:lang w:val="en-US" w:eastAsia="zh-CN" w:bidi="ar-SA"/>
        </w:rPr>
        <w:t>合同，由成交供应商</w:t>
      </w:r>
      <w:r>
        <w:rPr>
          <w:rFonts w:hint="eastAsia" w:ascii="仿宋" w:hAnsi="仿宋" w:eastAsia="仿宋" w:cs="仿宋"/>
          <w:b w:val="0"/>
          <w:bCs/>
          <w:color w:val="auto"/>
          <w:kern w:val="0"/>
          <w:sz w:val="32"/>
          <w:szCs w:val="32"/>
          <w:lang w:val="en-US" w:eastAsia="zh-Hans" w:bidi="ar-SA"/>
        </w:rPr>
        <w:t>自行</w:t>
      </w:r>
      <w:r>
        <w:rPr>
          <w:rFonts w:hint="eastAsia" w:ascii="仿宋" w:hAnsi="仿宋" w:eastAsia="仿宋" w:cs="仿宋"/>
          <w:b w:val="0"/>
          <w:bCs/>
          <w:color w:val="auto"/>
          <w:kern w:val="0"/>
          <w:sz w:val="32"/>
          <w:szCs w:val="32"/>
          <w:lang w:val="en-US" w:eastAsia="zh-CN" w:bidi="ar-SA"/>
        </w:rPr>
        <w:t>承担相关责任。</w:t>
      </w:r>
    </w:p>
    <w:p w14:paraId="1ED31D05">
      <w:pPr>
        <w:spacing w:line="360" w:lineRule="auto"/>
        <w:jc w:val="center"/>
        <w:rPr>
          <w:rFonts w:hint="eastAsia" w:ascii="仿宋" w:hAnsi="仿宋" w:eastAsia="仿宋" w:cs="仿宋"/>
          <w:b/>
          <w:sz w:val="28"/>
          <w:szCs w:val="28"/>
        </w:rPr>
      </w:pPr>
    </w:p>
    <w:p w14:paraId="4A82F5E1">
      <w:pPr>
        <w:spacing w:line="360" w:lineRule="auto"/>
        <w:jc w:val="center"/>
        <w:rPr>
          <w:rFonts w:hint="eastAsia" w:ascii="仿宋" w:hAnsi="仿宋" w:eastAsia="仿宋" w:cs="仿宋"/>
          <w:b/>
          <w:sz w:val="32"/>
          <w:szCs w:val="32"/>
        </w:rPr>
      </w:pPr>
      <w:r>
        <w:rPr>
          <w:rFonts w:hint="eastAsia" w:ascii="仿宋" w:hAnsi="仿宋" w:eastAsia="仿宋" w:cs="仿宋"/>
          <w:b/>
          <w:sz w:val="32"/>
          <w:szCs w:val="32"/>
          <w:lang w:val="en-US" w:eastAsia="zh-CN"/>
        </w:rPr>
        <w:t>日杂供应商配送服务</w:t>
      </w:r>
      <w:r>
        <w:rPr>
          <w:rFonts w:hint="eastAsia" w:ascii="仿宋" w:hAnsi="仿宋" w:eastAsia="仿宋" w:cs="仿宋"/>
          <w:b/>
          <w:sz w:val="32"/>
          <w:szCs w:val="32"/>
        </w:rPr>
        <w:t>考核表</w:t>
      </w:r>
    </w:p>
    <w:p w14:paraId="093D8A49">
      <w:pPr>
        <w:spacing w:line="360" w:lineRule="auto"/>
        <w:jc w:val="center"/>
        <w:rPr>
          <w:rFonts w:hint="eastAsia" w:ascii="仿宋" w:hAnsi="仿宋" w:eastAsia="仿宋" w:cs="仿宋"/>
          <w:sz w:val="32"/>
          <w:szCs w:val="32"/>
        </w:rPr>
      </w:pPr>
      <w:r>
        <w:rPr>
          <w:rFonts w:hint="eastAsia" w:ascii="仿宋" w:hAnsi="仿宋" w:eastAsia="仿宋" w:cs="仿宋"/>
          <w:sz w:val="32"/>
          <w:szCs w:val="32"/>
        </w:rPr>
        <w:t xml:space="preserve">配送企业名称：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考核负责人：      填表时间：   年  月  日</w:t>
      </w:r>
    </w:p>
    <w:tbl>
      <w:tblPr>
        <w:tblStyle w:val="18"/>
        <w:tblW w:w="995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766"/>
        <w:gridCol w:w="1218"/>
        <w:gridCol w:w="887"/>
        <w:gridCol w:w="5115"/>
        <w:gridCol w:w="1272"/>
        <w:gridCol w:w="701"/>
      </w:tblGrid>
      <w:tr w14:paraId="63331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66" w:type="dxa"/>
            <w:tcBorders>
              <w:top w:val="single" w:color="auto" w:sz="4" w:space="0"/>
              <w:left w:val="single" w:color="auto" w:sz="4" w:space="0"/>
              <w:bottom w:val="single" w:color="auto" w:sz="4" w:space="0"/>
              <w:right w:val="single" w:color="auto" w:sz="4" w:space="0"/>
            </w:tcBorders>
            <w:noWrap w:val="0"/>
            <w:vAlign w:val="center"/>
          </w:tcPr>
          <w:p w14:paraId="5C056407">
            <w:pPr>
              <w:widowControl/>
              <w:spacing w:line="360" w:lineRule="auto"/>
              <w:jc w:val="center"/>
              <w:rPr>
                <w:rFonts w:hint="eastAsia" w:ascii="仿宋" w:hAnsi="仿宋" w:eastAsia="仿宋" w:cs="仿宋"/>
                <w:b/>
                <w:bCs/>
                <w:sz w:val="32"/>
                <w:szCs w:val="32"/>
              </w:rPr>
            </w:pPr>
            <w:r>
              <w:rPr>
                <w:rFonts w:hint="eastAsia" w:ascii="仿宋" w:hAnsi="仿宋" w:eastAsia="仿宋" w:cs="仿宋"/>
                <w:b/>
                <w:bCs/>
                <w:color w:val="000000"/>
                <w:kern w:val="0"/>
                <w:sz w:val="32"/>
                <w:szCs w:val="32"/>
                <w:lang w:bidi="ar"/>
              </w:rPr>
              <w:t>序号</w:t>
            </w:r>
          </w:p>
        </w:tc>
        <w:tc>
          <w:tcPr>
            <w:tcW w:w="1218" w:type="dxa"/>
            <w:tcBorders>
              <w:top w:val="single" w:color="auto" w:sz="4" w:space="0"/>
              <w:left w:val="single" w:color="auto" w:sz="4" w:space="0"/>
              <w:bottom w:val="single" w:color="auto" w:sz="4" w:space="0"/>
              <w:right w:val="single" w:color="auto" w:sz="4" w:space="0"/>
            </w:tcBorders>
            <w:noWrap w:val="0"/>
            <w:vAlign w:val="center"/>
          </w:tcPr>
          <w:p w14:paraId="0C5C78DA">
            <w:pPr>
              <w:widowControl/>
              <w:spacing w:line="360" w:lineRule="auto"/>
              <w:jc w:val="center"/>
              <w:rPr>
                <w:rFonts w:hint="eastAsia" w:ascii="仿宋" w:hAnsi="仿宋" w:eastAsia="仿宋" w:cs="仿宋"/>
                <w:b/>
                <w:bCs/>
                <w:sz w:val="32"/>
                <w:szCs w:val="32"/>
              </w:rPr>
            </w:pPr>
            <w:r>
              <w:rPr>
                <w:rFonts w:hint="eastAsia" w:ascii="仿宋" w:hAnsi="仿宋" w:eastAsia="仿宋" w:cs="仿宋"/>
                <w:b/>
                <w:bCs/>
                <w:color w:val="000000"/>
                <w:kern w:val="0"/>
                <w:sz w:val="32"/>
                <w:szCs w:val="32"/>
                <w:lang w:bidi="ar"/>
              </w:rPr>
              <w:t>考评项目</w:t>
            </w:r>
          </w:p>
        </w:tc>
        <w:tc>
          <w:tcPr>
            <w:tcW w:w="887" w:type="dxa"/>
            <w:tcBorders>
              <w:top w:val="single" w:color="auto" w:sz="4" w:space="0"/>
              <w:left w:val="single" w:color="auto" w:sz="4" w:space="0"/>
              <w:bottom w:val="single" w:color="auto" w:sz="4" w:space="0"/>
              <w:right w:val="single" w:color="auto" w:sz="4" w:space="0"/>
            </w:tcBorders>
            <w:noWrap w:val="0"/>
            <w:vAlign w:val="center"/>
          </w:tcPr>
          <w:p w14:paraId="7291939D">
            <w:pPr>
              <w:widowControl/>
              <w:spacing w:line="360" w:lineRule="auto"/>
              <w:jc w:val="center"/>
              <w:rPr>
                <w:rFonts w:hint="eastAsia" w:ascii="仿宋" w:hAnsi="仿宋" w:eastAsia="仿宋" w:cs="仿宋"/>
                <w:b/>
                <w:bCs/>
                <w:sz w:val="32"/>
                <w:szCs w:val="32"/>
              </w:rPr>
            </w:pPr>
            <w:r>
              <w:rPr>
                <w:rFonts w:hint="eastAsia" w:ascii="仿宋" w:hAnsi="仿宋" w:eastAsia="仿宋" w:cs="仿宋"/>
                <w:b/>
                <w:bCs/>
                <w:color w:val="000000"/>
                <w:kern w:val="0"/>
                <w:sz w:val="32"/>
                <w:szCs w:val="32"/>
                <w:lang w:bidi="ar"/>
              </w:rPr>
              <w:t>分值</w:t>
            </w:r>
          </w:p>
        </w:tc>
        <w:tc>
          <w:tcPr>
            <w:tcW w:w="5115" w:type="dxa"/>
            <w:tcBorders>
              <w:top w:val="single" w:color="auto" w:sz="4" w:space="0"/>
              <w:left w:val="single" w:color="auto" w:sz="4" w:space="0"/>
              <w:bottom w:val="single" w:color="auto" w:sz="4" w:space="0"/>
              <w:right w:val="single" w:color="auto" w:sz="4" w:space="0"/>
            </w:tcBorders>
            <w:noWrap w:val="0"/>
            <w:vAlign w:val="center"/>
          </w:tcPr>
          <w:p w14:paraId="514F6F6D">
            <w:pPr>
              <w:widowControl/>
              <w:spacing w:line="360" w:lineRule="auto"/>
              <w:ind w:firstLine="643" w:firstLineChars="200"/>
              <w:jc w:val="center"/>
              <w:rPr>
                <w:rFonts w:hint="eastAsia" w:ascii="仿宋" w:hAnsi="仿宋" w:eastAsia="仿宋" w:cs="仿宋"/>
                <w:b/>
                <w:bCs/>
                <w:sz w:val="32"/>
                <w:szCs w:val="32"/>
              </w:rPr>
            </w:pPr>
            <w:r>
              <w:rPr>
                <w:rFonts w:hint="eastAsia" w:ascii="仿宋" w:hAnsi="仿宋" w:eastAsia="仿宋" w:cs="仿宋"/>
                <w:b/>
                <w:bCs/>
                <w:color w:val="000000"/>
                <w:kern w:val="0"/>
                <w:sz w:val="32"/>
                <w:szCs w:val="32"/>
                <w:lang w:bidi="ar"/>
              </w:rPr>
              <w:t>评分细则</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3BE9FA4A">
            <w:pPr>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考评得分</w:t>
            </w:r>
          </w:p>
        </w:tc>
        <w:tc>
          <w:tcPr>
            <w:tcW w:w="701" w:type="dxa"/>
            <w:tcBorders>
              <w:top w:val="single" w:color="auto" w:sz="4" w:space="0"/>
              <w:left w:val="single" w:color="auto" w:sz="4" w:space="0"/>
              <w:bottom w:val="single" w:color="auto" w:sz="4" w:space="0"/>
              <w:right w:val="single" w:color="auto" w:sz="4" w:space="0"/>
            </w:tcBorders>
            <w:noWrap w:val="0"/>
            <w:vAlign w:val="center"/>
          </w:tcPr>
          <w:p w14:paraId="2D328E77">
            <w:pPr>
              <w:spacing w:line="360" w:lineRule="auto"/>
              <w:jc w:val="center"/>
              <w:rPr>
                <w:rFonts w:hint="eastAsia" w:ascii="仿宋" w:hAnsi="仿宋" w:eastAsia="仿宋" w:cs="仿宋"/>
                <w:b/>
                <w:bCs/>
                <w:sz w:val="32"/>
                <w:szCs w:val="32"/>
              </w:rPr>
            </w:pPr>
            <w:r>
              <w:rPr>
                <w:rFonts w:hint="eastAsia" w:ascii="仿宋" w:hAnsi="仿宋" w:eastAsia="仿宋" w:cs="仿宋"/>
                <w:b/>
                <w:bCs/>
                <w:sz w:val="32"/>
                <w:szCs w:val="32"/>
              </w:rPr>
              <w:t>备注</w:t>
            </w:r>
          </w:p>
        </w:tc>
      </w:tr>
      <w:tr w14:paraId="2C690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66" w:type="dxa"/>
            <w:tcBorders>
              <w:top w:val="single" w:color="auto" w:sz="4" w:space="0"/>
              <w:left w:val="single" w:color="auto" w:sz="4" w:space="0"/>
              <w:bottom w:val="single" w:color="auto" w:sz="4" w:space="0"/>
              <w:right w:val="single" w:color="auto" w:sz="4" w:space="0"/>
            </w:tcBorders>
            <w:noWrap w:val="0"/>
            <w:vAlign w:val="center"/>
          </w:tcPr>
          <w:p w14:paraId="4AC87FEE">
            <w:pPr>
              <w:pStyle w:val="7"/>
              <w:spacing w:after="0" w:line="360" w:lineRule="auto"/>
              <w:jc w:val="center"/>
              <w:rPr>
                <w:rFonts w:hint="eastAsia" w:ascii="仿宋" w:hAnsi="仿宋" w:eastAsia="仿宋" w:cs="仿宋"/>
                <w:sz w:val="32"/>
                <w:szCs w:val="32"/>
              </w:rPr>
            </w:pPr>
            <w:r>
              <w:rPr>
                <w:rFonts w:hint="eastAsia" w:ascii="仿宋" w:hAnsi="仿宋" w:eastAsia="仿宋" w:cs="仿宋"/>
                <w:sz w:val="32"/>
                <w:szCs w:val="32"/>
              </w:rPr>
              <w:t>1</w:t>
            </w:r>
          </w:p>
        </w:tc>
        <w:tc>
          <w:tcPr>
            <w:tcW w:w="1218" w:type="dxa"/>
            <w:tcBorders>
              <w:top w:val="single" w:color="auto" w:sz="4" w:space="0"/>
              <w:left w:val="single" w:color="auto" w:sz="4" w:space="0"/>
              <w:bottom w:val="single" w:color="auto" w:sz="4" w:space="0"/>
              <w:right w:val="single" w:color="auto" w:sz="4" w:space="0"/>
            </w:tcBorders>
            <w:noWrap w:val="0"/>
            <w:vAlign w:val="center"/>
          </w:tcPr>
          <w:p w14:paraId="0F61F0DD">
            <w:pPr>
              <w:widowControl/>
              <w:spacing w:line="360" w:lineRule="auto"/>
              <w:jc w:val="center"/>
              <w:rPr>
                <w:rFonts w:hint="eastAsia" w:ascii="仿宋" w:hAnsi="仿宋" w:eastAsia="仿宋" w:cs="仿宋"/>
                <w:color w:val="000000"/>
                <w:kern w:val="0"/>
                <w:sz w:val="32"/>
                <w:szCs w:val="32"/>
                <w:lang w:bidi="ar"/>
              </w:rPr>
            </w:pPr>
            <w:r>
              <w:rPr>
                <w:rFonts w:hint="eastAsia" w:ascii="仿宋" w:hAnsi="仿宋" w:eastAsia="仿宋" w:cs="仿宋"/>
                <w:color w:val="000000"/>
                <w:kern w:val="0"/>
                <w:sz w:val="32"/>
                <w:szCs w:val="32"/>
                <w:lang w:bidi="ar"/>
              </w:rPr>
              <w:t xml:space="preserve">对账 </w:t>
            </w:r>
          </w:p>
          <w:p w14:paraId="213F5438">
            <w:pPr>
              <w:widowControl/>
              <w:spacing w:line="360" w:lineRule="auto"/>
              <w:jc w:val="center"/>
              <w:rPr>
                <w:rFonts w:hint="eastAsia" w:ascii="仿宋" w:hAnsi="仿宋" w:eastAsia="仿宋" w:cs="仿宋"/>
                <w:sz w:val="32"/>
                <w:szCs w:val="32"/>
              </w:rPr>
            </w:pPr>
            <w:r>
              <w:rPr>
                <w:rFonts w:hint="eastAsia" w:ascii="仿宋" w:hAnsi="仿宋" w:eastAsia="仿宋" w:cs="仿宋"/>
                <w:color w:val="000000"/>
                <w:kern w:val="0"/>
                <w:sz w:val="32"/>
                <w:szCs w:val="32"/>
                <w:lang w:bidi="ar"/>
              </w:rPr>
              <w:t>10%</w:t>
            </w:r>
          </w:p>
        </w:tc>
        <w:tc>
          <w:tcPr>
            <w:tcW w:w="887" w:type="dxa"/>
            <w:tcBorders>
              <w:top w:val="single" w:color="auto" w:sz="4" w:space="0"/>
              <w:left w:val="single" w:color="auto" w:sz="4" w:space="0"/>
              <w:bottom w:val="single" w:color="auto" w:sz="4" w:space="0"/>
              <w:right w:val="single" w:color="auto" w:sz="4" w:space="0"/>
            </w:tcBorders>
            <w:noWrap w:val="0"/>
            <w:vAlign w:val="center"/>
          </w:tcPr>
          <w:p w14:paraId="4A9EBC56">
            <w:pPr>
              <w:pStyle w:val="7"/>
              <w:spacing w:after="0" w:line="360" w:lineRule="auto"/>
              <w:jc w:val="center"/>
              <w:rPr>
                <w:rFonts w:hint="eastAsia" w:ascii="仿宋" w:hAnsi="仿宋" w:eastAsia="仿宋" w:cs="仿宋"/>
                <w:sz w:val="32"/>
                <w:szCs w:val="32"/>
              </w:rPr>
            </w:pPr>
            <w:r>
              <w:rPr>
                <w:rFonts w:hint="eastAsia" w:ascii="仿宋" w:hAnsi="仿宋" w:eastAsia="仿宋" w:cs="仿宋"/>
                <w:sz w:val="32"/>
                <w:szCs w:val="32"/>
              </w:rPr>
              <w:t>10分</w:t>
            </w:r>
          </w:p>
        </w:tc>
        <w:tc>
          <w:tcPr>
            <w:tcW w:w="5115" w:type="dxa"/>
            <w:tcBorders>
              <w:top w:val="single" w:color="auto" w:sz="4" w:space="0"/>
              <w:left w:val="single" w:color="auto" w:sz="4" w:space="0"/>
              <w:bottom w:val="single" w:color="auto" w:sz="4" w:space="0"/>
              <w:right w:val="single" w:color="auto" w:sz="4" w:space="0"/>
            </w:tcBorders>
            <w:noWrap w:val="0"/>
            <w:vAlign w:val="center"/>
          </w:tcPr>
          <w:p w14:paraId="1EF02E48">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color w:val="000000"/>
                <w:kern w:val="0"/>
                <w:sz w:val="32"/>
                <w:szCs w:val="32"/>
                <w:lang w:bidi="ar"/>
              </w:rPr>
              <w:t xml:space="preserve">因供应商原因对账时间每逾期一天扣 2 分；付款资料每逾期一个工作日扣2分。 </w:t>
            </w:r>
          </w:p>
        </w:tc>
        <w:tc>
          <w:tcPr>
            <w:tcW w:w="1272" w:type="dxa"/>
            <w:noWrap w:val="0"/>
            <w:vAlign w:val="center"/>
          </w:tcPr>
          <w:p w14:paraId="1C60C8A0">
            <w:pPr>
              <w:spacing w:line="360" w:lineRule="auto"/>
              <w:rPr>
                <w:rFonts w:hint="eastAsia" w:ascii="仿宋" w:hAnsi="仿宋" w:eastAsia="仿宋" w:cs="仿宋"/>
                <w:sz w:val="32"/>
                <w:szCs w:val="32"/>
              </w:rPr>
            </w:pPr>
          </w:p>
        </w:tc>
        <w:tc>
          <w:tcPr>
            <w:tcW w:w="701" w:type="dxa"/>
            <w:noWrap w:val="0"/>
            <w:vAlign w:val="center"/>
          </w:tcPr>
          <w:p w14:paraId="6D3BC8B6">
            <w:pPr>
              <w:spacing w:line="360" w:lineRule="auto"/>
              <w:rPr>
                <w:rFonts w:hint="eastAsia" w:ascii="仿宋" w:hAnsi="仿宋" w:eastAsia="仿宋" w:cs="仿宋"/>
                <w:sz w:val="32"/>
                <w:szCs w:val="32"/>
              </w:rPr>
            </w:pPr>
          </w:p>
        </w:tc>
      </w:tr>
      <w:tr w14:paraId="1E5F0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66" w:type="dxa"/>
            <w:tcBorders>
              <w:top w:val="single" w:color="auto" w:sz="4" w:space="0"/>
              <w:left w:val="single" w:color="auto" w:sz="4" w:space="0"/>
              <w:bottom w:val="single" w:color="auto" w:sz="4" w:space="0"/>
              <w:right w:val="single" w:color="auto" w:sz="4" w:space="0"/>
            </w:tcBorders>
            <w:noWrap w:val="0"/>
            <w:vAlign w:val="center"/>
          </w:tcPr>
          <w:p w14:paraId="165DA8FE">
            <w:pPr>
              <w:widowControl/>
              <w:spacing w:line="360" w:lineRule="auto"/>
              <w:jc w:val="center"/>
              <w:rPr>
                <w:rFonts w:hint="eastAsia" w:ascii="仿宋" w:hAnsi="仿宋" w:eastAsia="仿宋" w:cs="仿宋"/>
                <w:sz w:val="32"/>
                <w:szCs w:val="32"/>
              </w:rPr>
            </w:pPr>
            <w:r>
              <w:rPr>
                <w:rFonts w:hint="eastAsia" w:ascii="仿宋" w:hAnsi="仿宋" w:eastAsia="仿宋" w:cs="仿宋"/>
                <w:color w:val="000000"/>
                <w:kern w:val="0"/>
                <w:sz w:val="32"/>
                <w:szCs w:val="32"/>
                <w:lang w:bidi="ar"/>
              </w:rPr>
              <w:t>3</w:t>
            </w:r>
          </w:p>
        </w:tc>
        <w:tc>
          <w:tcPr>
            <w:tcW w:w="1218" w:type="dxa"/>
            <w:tcBorders>
              <w:top w:val="single" w:color="auto" w:sz="4" w:space="0"/>
              <w:left w:val="single" w:color="auto" w:sz="4" w:space="0"/>
              <w:bottom w:val="single" w:color="auto" w:sz="4" w:space="0"/>
              <w:right w:val="single" w:color="auto" w:sz="4" w:space="0"/>
            </w:tcBorders>
            <w:noWrap w:val="0"/>
            <w:vAlign w:val="center"/>
          </w:tcPr>
          <w:p w14:paraId="55BB1B81">
            <w:pPr>
              <w:widowControl/>
              <w:spacing w:line="360" w:lineRule="auto"/>
              <w:jc w:val="center"/>
              <w:rPr>
                <w:rFonts w:hint="eastAsia" w:ascii="仿宋" w:hAnsi="仿宋" w:eastAsia="仿宋" w:cs="仿宋"/>
                <w:sz w:val="32"/>
                <w:szCs w:val="32"/>
              </w:rPr>
            </w:pPr>
            <w:r>
              <w:rPr>
                <w:rFonts w:hint="eastAsia" w:ascii="仿宋" w:hAnsi="仿宋" w:eastAsia="仿宋" w:cs="仿宋"/>
                <w:color w:val="000000"/>
                <w:kern w:val="0"/>
                <w:sz w:val="32"/>
                <w:szCs w:val="32"/>
                <w:lang w:bidi="ar"/>
              </w:rPr>
              <w:t>人员10%</w:t>
            </w:r>
          </w:p>
        </w:tc>
        <w:tc>
          <w:tcPr>
            <w:tcW w:w="887" w:type="dxa"/>
            <w:tcBorders>
              <w:top w:val="single" w:color="auto" w:sz="4" w:space="0"/>
              <w:left w:val="single" w:color="auto" w:sz="4" w:space="0"/>
              <w:bottom w:val="single" w:color="auto" w:sz="4" w:space="0"/>
              <w:right w:val="single" w:color="auto" w:sz="4" w:space="0"/>
            </w:tcBorders>
            <w:noWrap w:val="0"/>
            <w:vAlign w:val="center"/>
          </w:tcPr>
          <w:p w14:paraId="16ECA9AF">
            <w:pPr>
              <w:pStyle w:val="7"/>
              <w:spacing w:after="0" w:line="360" w:lineRule="auto"/>
              <w:jc w:val="center"/>
              <w:rPr>
                <w:rFonts w:hint="eastAsia" w:ascii="仿宋" w:hAnsi="仿宋" w:eastAsia="仿宋" w:cs="仿宋"/>
                <w:sz w:val="32"/>
                <w:szCs w:val="32"/>
              </w:rPr>
            </w:pPr>
            <w:r>
              <w:rPr>
                <w:rFonts w:hint="eastAsia" w:ascii="仿宋" w:hAnsi="仿宋" w:eastAsia="仿宋" w:cs="仿宋"/>
                <w:sz w:val="32"/>
                <w:szCs w:val="32"/>
              </w:rPr>
              <w:t>10分</w:t>
            </w:r>
          </w:p>
        </w:tc>
        <w:tc>
          <w:tcPr>
            <w:tcW w:w="5115" w:type="dxa"/>
            <w:tcBorders>
              <w:top w:val="single" w:color="auto" w:sz="4" w:space="0"/>
              <w:left w:val="single" w:color="auto" w:sz="4" w:space="0"/>
              <w:bottom w:val="single" w:color="auto" w:sz="4" w:space="0"/>
              <w:right w:val="single" w:color="auto" w:sz="4" w:space="0"/>
            </w:tcBorders>
            <w:noWrap w:val="0"/>
            <w:vAlign w:val="center"/>
          </w:tcPr>
          <w:p w14:paraId="4F1C5C80">
            <w:pPr>
              <w:widowControl/>
              <w:spacing w:line="360" w:lineRule="auto"/>
              <w:ind w:firstLine="640" w:firstLineChars="200"/>
              <w:rPr>
                <w:rFonts w:hint="eastAsia" w:ascii="仿宋" w:hAnsi="仿宋" w:eastAsia="仿宋" w:cs="仿宋"/>
                <w:sz w:val="32"/>
                <w:szCs w:val="32"/>
              </w:rPr>
            </w:pPr>
            <w:r>
              <w:rPr>
                <w:rFonts w:hint="eastAsia" w:ascii="仿宋" w:hAnsi="仿宋" w:eastAsia="仿宋" w:cs="仿宋"/>
                <w:color w:val="000000"/>
                <w:kern w:val="0"/>
                <w:sz w:val="32"/>
                <w:szCs w:val="32"/>
                <w:lang w:bidi="ar"/>
              </w:rPr>
              <w:t>供应商</w:t>
            </w:r>
            <w:r>
              <w:rPr>
                <w:rFonts w:hint="eastAsia" w:ascii="仿宋" w:hAnsi="仿宋" w:eastAsia="仿宋" w:cs="仿宋"/>
                <w:color w:val="000000"/>
                <w:kern w:val="0"/>
                <w:sz w:val="32"/>
                <w:szCs w:val="32"/>
                <w:lang w:eastAsia="zh-Hans" w:bidi="ar"/>
              </w:rPr>
              <w:t>安排的</w:t>
            </w:r>
            <w:r>
              <w:rPr>
                <w:rFonts w:hint="eastAsia" w:ascii="仿宋" w:hAnsi="仿宋" w:eastAsia="仿宋" w:cs="仿宋"/>
                <w:color w:val="000000"/>
                <w:kern w:val="0"/>
                <w:sz w:val="32"/>
                <w:szCs w:val="32"/>
                <w:lang w:bidi="ar"/>
              </w:rPr>
              <w:t>配送员工需穿戴</w:t>
            </w:r>
            <w:r>
              <w:rPr>
                <w:rFonts w:hint="eastAsia" w:ascii="仿宋" w:hAnsi="仿宋" w:eastAsia="仿宋" w:cs="仿宋"/>
                <w:color w:val="000000"/>
                <w:kern w:val="0"/>
                <w:sz w:val="32"/>
                <w:szCs w:val="32"/>
                <w:lang w:eastAsia="zh-Hans" w:bidi="ar"/>
              </w:rPr>
              <w:t>其自行配备的</w:t>
            </w:r>
            <w:r>
              <w:rPr>
                <w:rFonts w:hint="eastAsia" w:ascii="仿宋" w:hAnsi="仿宋" w:eastAsia="仿宋" w:cs="仿宋"/>
                <w:color w:val="000000"/>
                <w:kern w:val="0"/>
                <w:sz w:val="32"/>
                <w:szCs w:val="32"/>
                <w:lang w:bidi="ar"/>
              </w:rPr>
              <w:t>工服</w:t>
            </w:r>
            <w:r>
              <w:rPr>
                <w:rFonts w:hint="eastAsia" w:ascii="仿宋" w:hAnsi="仿宋" w:eastAsia="仿宋" w:cs="仿宋"/>
                <w:color w:val="000000"/>
                <w:kern w:val="0"/>
                <w:sz w:val="32"/>
                <w:szCs w:val="32"/>
                <w:lang w:eastAsia="zh-Hans" w:bidi="ar"/>
              </w:rPr>
              <w:t>，</w:t>
            </w:r>
            <w:r>
              <w:rPr>
                <w:rFonts w:hint="eastAsia" w:ascii="仿宋" w:hAnsi="仿宋" w:eastAsia="仿宋" w:cs="仿宋"/>
                <w:color w:val="000000"/>
                <w:kern w:val="0"/>
                <w:sz w:val="32"/>
                <w:szCs w:val="32"/>
                <w:lang w:bidi="ar"/>
              </w:rPr>
              <w:t>且衣着整洁，个人清洁卫生干净，佩戴工作牌， 每有一样不符合要求一次扣 2分。</w:t>
            </w:r>
          </w:p>
        </w:tc>
        <w:tc>
          <w:tcPr>
            <w:tcW w:w="1272" w:type="dxa"/>
            <w:noWrap w:val="0"/>
            <w:vAlign w:val="center"/>
          </w:tcPr>
          <w:p w14:paraId="44B32E3D">
            <w:pPr>
              <w:spacing w:line="360" w:lineRule="auto"/>
              <w:rPr>
                <w:rFonts w:hint="eastAsia" w:ascii="仿宋" w:hAnsi="仿宋" w:eastAsia="仿宋" w:cs="仿宋"/>
                <w:sz w:val="32"/>
                <w:szCs w:val="32"/>
              </w:rPr>
            </w:pPr>
          </w:p>
        </w:tc>
        <w:tc>
          <w:tcPr>
            <w:tcW w:w="701" w:type="dxa"/>
            <w:noWrap w:val="0"/>
            <w:vAlign w:val="center"/>
          </w:tcPr>
          <w:p w14:paraId="71973F91">
            <w:pPr>
              <w:spacing w:line="360" w:lineRule="auto"/>
              <w:rPr>
                <w:rFonts w:hint="eastAsia" w:ascii="仿宋" w:hAnsi="仿宋" w:eastAsia="仿宋" w:cs="仿宋"/>
                <w:sz w:val="32"/>
                <w:szCs w:val="32"/>
              </w:rPr>
            </w:pPr>
          </w:p>
        </w:tc>
      </w:tr>
      <w:tr w14:paraId="350CA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66" w:type="dxa"/>
            <w:vMerge w:val="restart"/>
            <w:tcBorders>
              <w:top w:val="single" w:color="auto" w:sz="4" w:space="0"/>
              <w:left w:val="single" w:color="auto" w:sz="4" w:space="0"/>
              <w:right w:val="single" w:color="auto" w:sz="4" w:space="0"/>
            </w:tcBorders>
            <w:noWrap w:val="0"/>
            <w:vAlign w:val="center"/>
          </w:tcPr>
          <w:p w14:paraId="09A56EF6">
            <w:pPr>
              <w:pStyle w:val="7"/>
              <w:spacing w:after="0" w:line="360" w:lineRule="auto"/>
              <w:jc w:val="center"/>
              <w:rPr>
                <w:rFonts w:hint="eastAsia" w:ascii="仿宋" w:hAnsi="仿宋" w:eastAsia="仿宋" w:cs="仿宋"/>
                <w:sz w:val="32"/>
                <w:szCs w:val="32"/>
              </w:rPr>
            </w:pPr>
          </w:p>
          <w:p w14:paraId="0206BD63">
            <w:pPr>
              <w:pStyle w:val="7"/>
              <w:spacing w:after="0" w:line="360" w:lineRule="auto"/>
              <w:jc w:val="center"/>
              <w:rPr>
                <w:rFonts w:hint="eastAsia" w:ascii="仿宋" w:hAnsi="仿宋" w:eastAsia="仿宋" w:cs="仿宋"/>
                <w:sz w:val="32"/>
                <w:szCs w:val="32"/>
              </w:rPr>
            </w:pPr>
            <w:r>
              <w:rPr>
                <w:rFonts w:hint="eastAsia" w:ascii="仿宋" w:hAnsi="仿宋" w:eastAsia="仿宋" w:cs="仿宋"/>
                <w:sz w:val="32"/>
                <w:szCs w:val="32"/>
              </w:rPr>
              <w:t>4</w:t>
            </w:r>
          </w:p>
        </w:tc>
        <w:tc>
          <w:tcPr>
            <w:tcW w:w="1218" w:type="dxa"/>
            <w:vMerge w:val="restart"/>
            <w:tcBorders>
              <w:top w:val="single" w:color="auto" w:sz="4" w:space="0"/>
              <w:left w:val="single" w:color="auto" w:sz="4" w:space="0"/>
              <w:right w:val="single" w:color="auto" w:sz="4" w:space="0"/>
            </w:tcBorders>
            <w:noWrap w:val="0"/>
            <w:vAlign w:val="center"/>
          </w:tcPr>
          <w:p w14:paraId="12432CB4">
            <w:pPr>
              <w:pStyle w:val="7"/>
              <w:tabs>
                <w:tab w:val="left" w:pos="642"/>
              </w:tabs>
              <w:spacing w:after="0" w:line="360" w:lineRule="auto"/>
              <w:jc w:val="center"/>
              <w:rPr>
                <w:rFonts w:hint="eastAsia" w:ascii="仿宋" w:hAnsi="仿宋" w:eastAsia="仿宋" w:cs="仿宋"/>
                <w:sz w:val="32"/>
                <w:szCs w:val="32"/>
              </w:rPr>
            </w:pPr>
          </w:p>
          <w:p w14:paraId="57FC0CCF">
            <w:pPr>
              <w:pStyle w:val="7"/>
              <w:tabs>
                <w:tab w:val="left" w:pos="642"/>
              </w:tabs>
              <w:spacing w:after="0" w:line="360" w:lineRule="auto"/>
              <w:jc w:val="center"/>
              <w:rPr>
                <w:rFonts w:hint="eastAsia" w:ascii="仿宋" w:hAnsi="仿宋" w:eastAsia="仿宋" w:cs="仿宋"/>
                <w:sz w:val="32"/>
                <w:szCs w:val="32"/>
              </w:rPr>
            </w:pPr>
            <w:r>
              <w:rPr>
                <w:rFonts w:hint="eastAsia" w:ascii="仿宋" w:hAnsi="仿宋" w:eastAsia="仿宋" w:cs="仿宋"/>
                <w:sz w:val="32"/>
                <w:szCs w:val="32"/>
              </w:rPr>
              <w:t>产品质量50%</w:t>
            </w:r>
          </w:p>
        </w:tc>
        <w:tc>
          <w:tcPr>
            <w:tcW w:w="887" w:type="dxa"/>
            <w:tcBorders>
              <w:top w:val="single" w:color="auto" w:sz="4" w:space="0"/>
              <w:left w:val="single" w:color="auto" w:sz="4" w:space="0"/>
              <w:bottom w:val="single" w:color="auto" w:sz="4" w:space="0"/>
              <w:right w:val="single" w:color="auto" w:sz="4" w:space="0"/>
            </w:tcBorders>
            <w:noWrap w:val="0"/>
            <w:vAlign w:val="center"/>
          </w:tcPr>
          <w:p w14:paraId="290D4E91">
            <w:pPr>
              <w:pStyle w:val="7"/>
              <w:spacing w:after="0" w:line="360" w:lineRule="auto"/>
              <w:jc w:val="center"/>
              <w:rPr>
                <w:rFonts w:hint="eastAsia" w:ascii="仿宋" w:hAnsi="仿宋" w:eastAsia="仿宋" w:cs="仿宋"/>
                <w:sz w:val="32"/>
                <w:szCs w:val="32"/>
              </w:rPr>
            </w:pPr>
            <w:r>
              <w:rPr>
                <w:rFonts w:hint="eastAsia" w:ascii="仿宋" w:hAnsi="仿宋" w:eastAsia="仿宋" w:cs="仿宋"/>
                <w:sz w:val="32"/>
                <w:szCs w:val="32"/>
              </w:rPr>
              <w:t>30分</w:t>
            </w:r>
          </w:p>
        </w:tc>
        <w:tc>
          <w:tcPr>
            <w:tcW w:w="5115" w:type="dxa"/>
            <w:tcBorders>
              <w:top w:val="single" w:color="auto" w:sz="4" w:space="0"/>
              <w:left w:val="single" w:color="auto" w:sz="4" w:space="0"/>
              <w:bottom w:val="single" w:color="auto" w:sz="4" w:space="0"/>
              <w:right w:val="single" w:color="auto" w:sz="4" w:space="0"/>
            </w:tcBorders>
            <w:noWrap w:val="0"/>
            <w:vAlign w:val="center"/>
          </w:tcPr>
          <w:p w14:paraId="18200B3D">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color w:val="000000"/>
                <w:kern w:val="0"/>
                <w:sz w:val="32"/>
                <w:szCs w:val="32"/>
                <w:lang w:bidi="ar"/>
              </w:rPr>
              <w:t>因配送产品质量问题导致采购人利益受到损失，每个单品每有一次扣 5 分，本项分值扣完为止。</w:t>
            </w:r>
          </w:p>
        </w:tc>
        <w:tc>
          <w:tcPr>
            <w:tcW w:w="1272" w:type="dxa"/>
            <w:noWrap w:val="0"/>
            <w:vAlign w:val="center"/>
          </w:tcPr>
          <w:p w14:paraId="12566B2A">
            <w:pPr>
              <w:spacing w:line="360" w:lineRule="auto"/>
              <w:rPr>
                <w:rFonts w:hint="eastAsia" w:ascii="仿宋" w:hAnsi="仿宋" w:eastAsia="仿宋" w:cs="仿宋"/>
                <w:sz w:val="32"/>
                <w:szCs w:val="32"/>
              </w:rPr>
            </w:pPr>
          </w:p>
        </w:tc>
        <w:tc>
          <w:tcPr>
            <w:tcW w:w="701" w:type="dxa"/>
            <w:noWrap w:val="0"/>
            <w:vAlign w:val="center"/>
          </w:tcPr>
          <w:p w14:paraId="7F09EF62">
            <w:pPr>
              <w:spacing w:line="360" w:lineRule="auto"/>
              <w:rPr>
                <w:rFonts w:hint="eastAsia" w:ascii="仿宋" w:hAnsi="仿宋" w:eastAsia="仿宋" w:cs="仿宋"/>
                <w:sz w:val="32"/>
                <w:szCs w:val="32"/>
              </w:rPr>
            </w:pPr>
          </w:p>
        </w:tc>
      </w:tr>
      <w:tr w14:paraId="102DC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66" w:type="dxa"/>
            <w:vMerge w:val="continue"/>
            <w:tcBorders>
              <w:left w:val="single" w:color="auto" w:sz="4" w:space="0"/>
              <w:bottom w:val="single" w:color="auto" w:sz="4" w:space="0"/>
              <w:right w:val="single" w:color="auto" w:sz="4" w:space="0"/>
            </w:tcBorders>
            <w:noWrap w:val="0"/>
            <w:vAlign w:val="center"/>
          </w:tcPr>
          <w:p w14:paraId="539F2AC8">
            <w:pPr>
              <w:pStyle w:val="7"/>
              <w:spacing w:after="0" w:line="360" w:lineRule="auto"/>
              <w:jc w:val="center"/>
              <w:rPr>
                <w:rFonts w:hint="eastAsia" w:ascii="仿宋" w:hAnsi="仿宋" w:eastAsia="仿宋" w:cs="仿宋"/>
                <w:sz w:val="32"/>
                <w:szCs w:val="32"/>
              </w:rPr>
            </w:pPr>
          </w:p>
        </w:tc>
        <w:tc>
          <w:tcPr>
            <w:tcW w:w="1218" w:type="dxa"/>
            <w:vMerge w:val="continue"/>
            <w:tcBorders>
              <w:left w:val="single" w:color="auto" w:sz="4" w:space="0"/>
              <w:bottom w:val="single" w:color="auto" w:sz="4" w:space="0"/>
              <w:right w:val="single" w:color="auto" w:sz="4" w:space="0"/>
            </w:tcBorders>
            <w:noWrap w:val="0"/>
            <w:vAlign w:val="center"/>
          </w:tcPr>
          <w:p w14:paraId="7BDB757A">
            <w:pPr>
              <w:pStyle w:val="7"/>
              <w:spacing w:after="0" w:line="360" w:lineRule="auto"/>
              <w:jc w:val="center"/>
              <w:rPr>
                <w:rFonts w:hint="eastAsia" w:ascii="仿宋" w:hAnsi="仿宋" w:eastAsia="仿宋" w:cs="仿宋"/>
                <w:sz w:val="32"/>
                <w:szCs w:val="32"/>
              </w:rPr>
            </w:pPr>
          </w:p>
        </w:tc>
        <w:tc>
          <w:tcPr>
            <w:tcW w:w="887" w:type="dxa"/>
            <w:tcBorders>
              <w:top w:val="single" w:color="auto" w:sz="4" w:space="0"/>
              <w:left w:val="single" w:color="auto" w:sz="4" w:space="0"/>
              <w:bottom w:val="single" w:color="auto" w:sz="4" w:space="0"/>
              <w:right w:val="single" w:color="auto" w:sz="4" w:space="0"/>
            </w:tcBorders>
            <w:noWrap w:val="0"/>
            <w:vAlign w:val="center"/>
          </w:tcPr>
          <w:p w14:paraId="4F78A307">
            <w:pPr>
              <w:pStyle w:val="7"/>
              <w:spacing w:after="0" w:line="360" w:lineRule="auto"/>
              <w:jc w:val="center"/>
              <w:rPr>
                <w:rFonts w:hint="eastAsia" w:ascii="仿宋" w:hAnsi="仿宋" w:eastAsia="仿宋" w:cs="仿宋"/>
                <w:sz w:val="32"/>
                <w:szCs w:val="32"/>
              </w:rPr>
            </w:pPr>
            <w:r>
              <w:rPr>
                <w:rFonts w:hint="eastAsia" w:ascii="仿宋" w:hAnsi="仿宋" w:eastAsia="仿宋" w:cs="仿宋"/>
                <w:sz w:val="32"/>
                <w:szCs w:val="32"/>
              </w:rPr>
              <w:t>20分</w:t>
            </w:r>
          </w:p>
        </w:tc>
        <w:tc>
          <w:tcPr>
            <w:tcW w:w="5115" w:type="dxa"/>
            <w:tcBorders>
              <w:top w:val="single" w:color="auto" w:sz="4" w:space="0"/>
              <w:left w:val="single" w:color="auto" w:sz="4" w:space="0"/>
              <w:bottom w:val="single" w:color="auto" w:sz="4" w:space="0"/>
              <w:right w:val="single" w:color="auto" w:sz="4" w:space="0"/>
            </w:tcBorders>
            <w:noWrap w:val="0"/>
            <w:vAlign w:val="center"/>
          </w:tcPr>
          <w:p w14:paraId="5D1192BF">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color w:val="000000"/>
                <w:kern w:val="0"/>
                <w:sz w:val="32"/>
                <w:szCs w:val="32"/>
                <w:lang w:bidi="ar"/>
              </w:rPr>
              <w:t>因所</w:t>
            </w:r>
            <w:r>
              <w:rPr>
                <w:rFonts w:hint="eastAsia" w:ascii="仿宋" w:hAnsi="仿宋" w:eastAsia="仿宋" w:cs="仿宋"/>
                <w:color w:val="000000"/>
                <w:kern w:val="0"/>
                <w:sz w:val="32"/>
                <w:szCs w:val="32"/>
                <w:lang w:eastAsia="zh-Hans" w:bidi="ar"/>
              </w:rPr>
              <w:t>配送</w:t>
            </w:r>
            <w:r>
              <w:rPr>
                <w:rFonts w:hint="eastAsia" w:ascii="仿宋" w:hAnsi="仿宋" w:eastAsia="仿宋" w:cs="仿宋"/>
                <w:color w:val="000000"/>
                <w:kern w:val="0"/>
                <w:sz w:val="32"/>
                <w:szCs w:val="32"/>
                <w:lang w:bidi="ar"/>
              </w:rPr>
              <w:t>的产品质量问题，影响到采购人工作的正常开展的，每个单品每有一次扣 5 分，本项值扣完为止。</w:t>
            </w:r>
          </w:p>
        </w:tc>
        <w:tc>
          <w:tcPr>
            <w:tcW w:w="1272" w:type="dxa"/>
            <w:noWrap w:val="0"/>
            <w:vAlign w:val="center"/>
          </w:tcPr>
          <w:p w14:paraId="7E376635">
            <w:pPr>
              <w:spacing w:line="360" w:lineRule="auto"/>
              <w:rPr>
                <w:rFonts w:hint="eastAsia" w:ascii="仿宋" w:hAnsi="仿宋" w:eastAsia="仿宋" w:cs="仿宋"/>
                <w:sz w:val="32"/>
                <w:szCs w:val="32"/>
              </w:rPr>
            </w:pPr>
          </w:p>
        </w:tc>
        <w:tc>
          <w:tcPr>
            <w:tcW w:w="701" w:type="dxa"/>
            <w:noWrap w:val="0"/>
            <w:vAlign w:val="center"/>
          </w:tcPr>
          <w:p w14:paraId="62213204">
            <w:pPr>
              <w:spacing w:line="360" w:lineRule="auto"/>
              <w:rPr>
                <w:rFonts w:hint="eastAsia" w:ascii="仿宋" w:hAnsi="仿宋" w:eastAsia="仿宋" w:cs="仿宋"/>
                <w:sz w:val="32"/>
                <w:szCs w:val="32"/>
              </w:rPr>
            </w:pPr>
          </w:p>
        </w:tc>
      </w:tr>
      <w:tr w14:paraId="4AE86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76" w:hRule="atLeast"/>
          <w:jc w:val="center"/>
        </w:trPr>
        <w:tc>
          <w:tcPr>
            <w:tcW w:w="766" w:type="dxa"/>
            <w:tcBorders>
              <w:top w:val="single" w:color="auto" w:sz="4" w:space="0"/>
              <w:left w:val="single" w:color="auto" w:sz="4" w:space="0"/>
              <w:bottom w:val="single" w:color="auto" w:sz="4" w:space="0"/>
              <w:right w:val="single" w:color="auto" w:sz="4" w:space="0"/>
            </w:tcBorders>
            <w:noWrap w:val="0"/>
            <w:vAlign w:val="center"/>
          </w:tcPr>
          <w:p w14:paraId="7FB1B4C7">
            <w:pPr>
              <w:pStyle w:val="7"/>
              <w:spacing w:after="0" w:line="360" w:lineRule="auto"/>
              <w:jc w:val="center"/>
              <w:rPr>
                <w:rFonts w:hint="eastAsia" w:ascii="仿宋" w:hAnsi="仿宋" w:eastAsia="仿宋" w:cs="仿宋"/>
                <w:sz w:val="32"/>
                <w:szCs w:val="32"/>
              </w:rPr>
            </w:pPr>
            <w:r>
              <w:rPr>
                <w:rFonts w:hint="eastAsia" w:ascii="仿宋" w:hAnsi="仿宋" w:eastAsia="仿宋" w:cs="仿宋"/>
                <w:sz w:val="32"/>
                <w:szCs w:val="32"/>
              </w:rPr>
              <w:t>5</w:t>
            </w:r>
          </w:p>
        </w:tc>
        <w:tc>
          <w:tcPr>
            <w:tcW w:w="1218" w:type="dxa"/>
            <w:tcBorders>
              <w:top w:val="single" w:color="auto" w:sz="4" w:space="0"/>
              <w:left w:val="single" w:color="auto" w:sz="4" w:space="0"/>
              <w:bottom w:val="single" w:color="auto" w:sz="4" w:space="0"/>
              <w:right w:val="single" w:color="auto" w:sz="4" w:space="0"/>
            </w:tcBorders>
            <w:noWrap w:val="0"/>
            <w:vAlign w:val="center"/>
          </w:tcPr>
          <w:p w14:paraId="45DBC4C9">
            <w:pPr>
              <w:widowControl/>
              <w:spacing w:line="360" w:lineRule="auto"/>
              <w:jc w:val="center"/>
              <w:rPr>
                <w:rFonts w:hint="eastAsia" w:ascii="仿宋" w:hAnsi="仿宋" w:eastAsia="仿宋" w:cs="仿宋"/>
                <w:sz w:val="32"/>
                <w:szCs w:val="32"/>
              </w:rPr>
            </w:pPr>
            <w:r>
              <w:rPr>
                <w:rFonts w:hint="eastAsia" w:ascii="仿宋" w:hAnsi="仿宋" w:eastAsia="仿宋" w:cs="仿宋"/>
                <w:color w:val="000000"/>
                <w:kern w:val="0"/>
                <w:sz w:val="32"/>
                <w:szCs w:val="32"/>
                <w:lang w:bidi="ar"/>
              </w:rPr>
              <w:t>准时准点情况 12%</w:t>
            </w:r>
          </w:p>
          <w:p w14:paraId="4F19B5F3">
            <w:pPr>
              <w:pStyle w:val="7"/>
              <w:spacing w:after="0" w:line="360" w:lineRule="auto"/>
              <w:jc w:val="center"/>
              <w:rPr>
                <w:rFonts w:hint="eastAsia" w:ascii="仿宋" w:hAnsi="仿宋" w:eastAsia="仿宋" w:cs="仿宋"/>
                <w:sz w:val="32"/>
                <w:szCs w:val="32"/>
              </w:rPr>
            </w:pPr>
          </w:p>
        </w:tc>
        <w:tc>
          <w:tcPr>
            <w:tcW w:w="887" w:type="dxa"/>
            <w:tcBorders>
              <w:top w:val="single" w:color="auto" w:sz="4" w:space="0"/>
              <w:left w:val="single" w:color="auto" w:sz="4" w:space="0"/>
              <w:bottom w:val="single" w:color="auto" w:sz="4" w:space="0"/>
              <w:right w:val="single" w:color="auto" w:sz="4" w:space="0"/>
            </w:tcBorders>
            <w:noWrap w:val="0"/>
            <w:vAlign w:val="center"/>
          </w:tcPr>
          <w:p w14:paraId="73F25C63">
            <w:pPr>
              <w:pStyle w:val="7"/>
              <w:spacing w:after="0" w:line="360" w:lineRule="auto"/>
              <w:jc w:val="center"/>
              <w:rPr>
                <w:rFonts w:hint="eastAsia" w:ascii="仿宋" w:hAnsi="仿宋" w:eastAsia="仿宋" w:cs="仿宋"/>
                <w:sz w:val="32"/>
                <w:szCs w:val="32"/>
              </w:rPr>
            </w:pPr>
            <w:r>
              <w:rPr>
                <w:rFonts w:hint="eastAsia" w:ascii="仿宋" w:hAnsi="仿宋" w:eastAsia="仿宋" w:cs="仿宋"/>
                <w:sz w:val="32"/>
                <w:szCs w:val="32"/>
              </w:rPr>
              <w:t>12分</w:t>
            </w:r>
          </w:p>
        </w:tc>
        <w:tc>
          <w:tcPr>
            <w:tcW w:w="5115" w:type="dxa"/>
            <w:tcBorders>
              <w:top w:val="single" w:color="auto" w:sz="4" w:space="0"/>
              <w:left w:val="single" w:color="auto" w:sz="4" w:space="0"/>
              <w:bottom w:val="single" w:color="auto" w:sz="4" w:space="0"/>
              <w:right w:val="single" w:color="auto" w:sz="4" w:space="0"/>
            </w:tcBorders>
            <w:noWrap w:val="0"/>
            <w:vAlign w:val="center"/>
          </w:tcPr>
          <w:p w14:paraId="1C9A21AA">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color w:val="000000"/>
                <w:kern w:val="0"/>
                <w:sz w:val="32"/>
                <w:szCs w:val="32"/>
                <w:lang w:bidi="ar"/>
              </w:rPr>
              <w:t xml:space="preserve">对于下单配送响应时间（60分钟达到现场），每迟到 10 分钟扣 2 分， 扣完为止（不足 10 分钟按 10 分钟计算）；发生退货情况，造成采购人工作无法正常进行的，每发生一次扣 2 分。 </w:t>
            </w:r>
          </w:p>
        </w:tc>
        <w:tc>
          <w:tcPr>
            <w:tcW w:w="1272" w:type="dxa"/>
            <w:noWrap w:val="0"/>
            <w:vAlign w:val="center"/>
          </w:tcPr>
          <w:p w14:paraId="1C03D450">
            <w:pPr>
              <w:spacing w:line="360" w:lineRule="auto"/>
              <w:rPr>
                <w:rFonts w:hint="eastAsia" w:ascii="仿宋" w:hAnsi="仿宋" w:eastAsia="仿宋" w:cs="仿宋"/>
                <w:sz w:val="32"/>
                <w:szCs w:val="32"/>
              </w:rPr>
            </w:pPr>
          </w:p>
        </w:tc>
        <w:tc>
          <w:tcPr>
            <w:tcW w:w="701" w:type="dxa"/>
            <w:noWrap w:val="0"/>
            <w:vAlign w:val="center"/>
          </w:tcPr>
          <w:p w14:paraId="501069BA">
            <w:pPr>
              <w:spacing w:line="360" w:lineRule="auto"/>
              <w:rPr>
                <w:rFonts w:hint="eastAsia" w:ascii="仿宋" w:hAnsi="仿宋" w:eastAsia="仿宋" w:cs="仿宋"/>
                <w:sz w:val="32"/>
                <w:szCs w:val="32"/>
              </w:rPr>
            </w:pPr>
          </w:p>
        </w:tc>
      </w:tr>
      <w:tr w14:paraId="33E9C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66" w:type="dxa"/>
            <w:tcBorders>
              <w:top w:val="single" w:color="auto" w:sz="4" w:space="0"/>
              <w:left w:val="single" w:color="auto" w:sz="4" w:space="0"/>
              <w:bottom w:val="single" w:color="auto" w:sz="4" w:space="0"/>
              <w:right w:val="single" w:color="auto" w:sz="4" w:space="0"/>
            </w:tcBorders>
            <w:noWrap w:val="0"/>
            <w:vAlign w:val="center"/>
          </w:tcPr>
          <w:p w14:paraId="477F5DAC">
            <w:pPr>
              <w:pStyle w:val="7"/>
              <w:spacing w:after="0" w:line="360" w:lineRule="auto"/>
              <w:jc w:val="center"/>
              <w:rPr>
                <w:rFonts w:hint="eastAsia" w:ascii="仿宋" w:hAnsi="仿宋" w:eastAsia="仿宋" w:cs="仿宋"/>
                <w:sz w:val="32"/>
                <w:szCs w:val="32"/>
              </w:rPr>
            </w:pPr>
            <w:r>
              <w:rPr>
                <w:rFonts w:hint="eastAsia" w:ascii="仿宋" w:hAnsi="仿宋" w:eastAsia="仿宋" w:cs="仿宋"/>
                <w:sz w:val="32"/>
                <w:szCs w:val="32"/>
              </w:rPr>
              <w:t>6</w:t>
            </w:r>
          </w:p>
        </w:tc>
        <w:tc>
          <w:tcPr>
            <w:tcW w:w="1218" w:type="dxa"/>
            <w:tcBorders>
              <w:top w:val="single" w:color="auto" w:sz="4" w:space="0"/>
              <w:left w:val="single" w:color="auto" w:sz="4" w:space="0"/>
              <w:bottom w:val="single" w:color="auto" w:sz="4" w:space="0"/>
              <w:right w:val="single" w:color="auto" w:sz="4" w:space="0"/>
            </w:tcBorders>
            <w:noWrap w:val="0"/>
            <w:vAlign w:val="center"/>
          </w:tcPr>
          <w:p w14:paraId="787008BE">
            <w:pPr>
              <w:widowControl/>
              <w:spacing w:line="360" w:lineRule="auto"/>
              <w:jc w:val="center"/>
              <w:rPr>
                <w:rFonts w:hint="eastAsia" w:ascii="仿宋" w:hAnsi="仿宋" w:eastAsia="仿宋" w:cs="仿宋"/>
                <w:sz w:val="32"/>
                <w:szCs w:val="32"/>
              </w:rPr>
            </w:pPr>
            <w:r>
              <w:rPr>
                <w:rFonts w:hint="eastAsia" w:ascii="仿宋" w:hAnsi="仿宋" w:eastAsia="仿宋" w:cs="仿宋"/>
                <w:color w:val="000000"/>
                <w:kern w:val="0"/>
                <w:sz w:val="32"/>
                <w:szCs w:val="32"/>
                <w:lang w:bidi="ar"/>
              </w:rPr>
              <w:t>应急处置18%</w:t>
            </w:r>
          </w:p>
          <w:p w14:paraId="14799A62">
            <w:pPr>
              <w:pStyle w:val="7"/>
              <w:spacing w:after="0" w:line="360" w:lineRule="auto"/>
              <w:jc w:val="center"/>
              <w:rPr>
                <w:rFonts w:hint="eastAsia" w:ascii="仿宋" w:hAnsi="仿宋" w:eastAsia="仿宋" w:cs="仿宋"/>
                <w:sz w:val="32"/>
                <w:szCs w:val="32"/>
              </w:rPr>
            </w:pPr>
          </w:p>
        </w:tc>
        <w:tc>
          <w:tcPr>
            <w:tcW w:w="887" w:type="dxa"/>
            <w:tcBorders>
              <w:top w:val="single" w:color="auto" w:sz="4" w:space="0"/>
              <w:left w:val="single" w:color="auto" w:sz="4" w:space="0"/>
              <w:bottom w:val="single" w:color="auto" w:sz="4" w:space="0"/>
              <w:right w:val="single" w:color="auto" w:sz="4" w:space="0"/>
            </w:tcBorders>
            <w:noWrap w:val="0"/>
            <w:vAlign w:val="center"/>
          </w:tcPr>
          <w:p w14:paraId="216ABFC7">
            <w:pPr>
              <w:pStyle w:val="7"/>
              <w:spacing w:after="0" w:line="360" w:lineRule="auto"/>
              <w:jc w:val="center"/>
              <w:rPr>
                <w:rFonts w:hint="eastAsia" w:ascii="仿宋" w:hAnsi="仿宋" w:eastAsia="仿宋" w:cs="仿宋"/>
                <w:sz w:val="32"/>
                <w:szCs w:val="32"/>
              </w:rPr>
            </w:pPr>
            <w:r>
              <w:rPr>
                <w:rFonts w:hint="eastAsia" w:ascii="仿宋" w:hAnsi="仿宋" w:eastAsia="仿宋" w:cs="仿宋"/>
                <w:sz w:val="32"/>
                <w:szCs w:val="32"/>
              </w:rPr>
              <w:t>18分</w:t>
            </w:r>
          </w:p>
        </w:tc>
        <w:tc>
          <w:tcPr>
            <w:tcW w:w="5115" w:type="dxa"/>
            <w:tcBorders>
              <w:top w:val="single" w:color="auto" w:sz="4" w:space="0"/>
              <w:left w:val="single" w:color="auto" w:sz="4" w:space="0"/>
              <w:bottom w:val="single" w:color="auto" w:sz="4" w:space="0"/>
              <w:right w:val="single" w:color="auto" w:sz="4" w:space="0"/>
            </w:tcBorders>
            <w:noWrap w:val="0"/>
            <w:vAlign w:val="center"/>
          </w:tcPr>
          <w:p w14:paraId="278B18D5">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color w:val="000000"/>
                <w:kern w:val="0"/>
                <w:sz w:val="32"/>
                <w:szCs w:val="32"/>
                <w:lang w:bidi="ar"/>
              </w:rPr>
              <w:t>根据实际应急响应情况（包含但不限于 ①响应时间；②响应措施；③应急处理办法；④自然灾害应急；⑤意外事故应急；⑥应急配送等）酌情打分。</w:t>
            </w:r>
          </w:p>
        </w:tc>
        <w:tc>
          <w:tcPr>
            <w:tcW w:w="1272" w:type="dxa"/>
            <w:noWrap w:val="0"/>
            <w:vAlign w:val="center"/>
          </w:tcPr>
          <w:p w14:paraId="6850399A">
            <w:pPr>
              <w:spacing w:line="360" w:lineRule="auto"/>
              <w:rPr>
                <w:rFonts w:hint="eastAsia" w:ascii="仿宋" w:hAnsi="仿宋" w:eastAsia="仿宋" w:cs="仿宋"/>
                <w:sz w:val="32"/>
                <w:szCs w:val="32"/>
              </w:rPr>
            </w:pPr>
          </w:p>
        </w:tc>
        <w:tc>
          <w:tcPr>
            <w:tcW w:w="701" w:type="dxa"/>
            <w:noWrap w:val="0"/>
            <w:vAlign w:val="center"/>
          </w:tcPr>
          <w:p w14:paraId="461DC7BF">
            <w:pPr>
              <w:spacing w:line="360" w:lineRule="auto"/>
              <w:rPr>
                <w:rFonts w:hint="eastAsia" w:ascii="仿宋" w:hAnsi="仿宋" w:eastAsia="仿宋" w:cs="仿宋"/>
                <w:sz w:val="32"/>
                <w:szCs w:val="32"/>
              </w:rPr>
            </w:pPr>
          </w:p>
        </w:tc>
      </w:tr>
      <w:tr w14:paraId="3EEF1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2871" w:type="dxa"/>
            <w:gridSpan w:val="3"/>
            <w:tcBorders>
              <w:top w:val="single" w:color="auto" w:sz="4" w:space="0"/>
              <w:left w:val="single" w:color="auto" w:sz="4" w:space="0"/>
              <w:bottom w:val="single" w:color="auto" w:sz="4" w:space="0"/>
            </w:tcBorders>
            <w:noWrap w:val="0"/>
            <w:vAlign w:val="center"/>
          </w:tcPr>
          <w:p w14:paraId="25E7F9F5">
            <w:pPr>
              <w:spacing w:line="360" w:lineRule="auto"/>
              <w:jc w:val="center"/>
              <w:rPr>
                <w:rFonts w:hint="eastAsia" w:ascii="仿宋" w:hAnsi="仿宋" w:eastAsia="仿宋" w:cs="仿宋"/>
                <w:sz w:val="32"/>
                <w:szCs w:val="32"/>
              </w:rPr>
            </w:pPr>
            <w:r>
              <w:rPr>
                <w:rFonts w:hint="eastAsia" w:ascii="仿宋" w:hAnsi="仿宋" w:eastAsia="仿宋" w:cs="仿宋"/>
                <w:sz w:val="32"/>
                <w:szCs w:val="32"/>
              </w:rPr>
              <w:t>综合得分合计</w:t>
            </w:r>
          </w:p>
        </w:tc>
        <w:tc>
          <w:tcPr>
            <w:tcW w:w="7088" w:type="dxa"/>
            <w:gridSpan w:val="3"/>
            <w:noWrap w:val="0"/>
            <w:vAlign w:val="center"/>
          </w:tcPr>
          <w:p w14:paraId="4A8EAE65">
            <w:pPr>
              <w:spacing w:line="360" w:lineRule="auto"/>
              <w:rPr>
                <w:rFonts w:hint="eastAsia" w:ascii="仿宋" w:hAnsi="仿宋" w:eastAsia="仿宋" w:cs="仿宋"/>
                <w:sz w:val="32"/>
                <w:szCs w:val="32"/>
              </w:rPr>
            </w:pPr>
          </w:p>
        </w:tc>
      </w:tr>
    </w:tbl>
    <w:p w14:paraId="599FB786">
      <w:pPr>
        <w:numPr>
          <w:ilvl w:val="0"/>
          <w:numId w:val="0"/>
        </w:numPr>
        <w:spacing w:line="560" w:lineRule="exact"/>
        <w:ind w:firstLine="643" w:firstLineChars="200"/>
        <w:rPr>
          <w:rFonts w:hint="eastAsia" w:ascii="仿宋" w:hAnsi="仿宋" w:eastAsia="仿宋" w:cs="仿宋"/>
          <w:b/>
          <w:bCs w:val="0"/>
          <w:color w:val="auto"/>
          <w:kern w:val="0"/>
          <w:sz w:val="32"/>
          <w:szCs w:val="32"/>
          <w:lang w:val="en-US" w:eastAsia="zh-CN"/>
        </w:rPr>
      </w:pPr>
      <w:r>
        <w:rPr>
          <w:rFonts w:hint="eastAsia" w:ascii="仿宋" w:hAnsi="仿宋" w:eastAsia="仿宋" w:cs="仿宋"/>
          <w:b/>
          <w:bCs w:val="0"/>
          <w:color w:val="auto"/>
          <w:kern w:val="0"/>
          <w:sz w:val="32"/>
          <w:szCs w:val="32"/>
          <w:lang w:val="en-US" w:eastAsia="zh-CN"/>
        </w:rPr>
        <w:t>五、商务要求</w:t>
      </w:r>
    </w:p>
    <w:p w14:paraId="3FA6BA1F">
      <w:pPr>
        <w:numPr>
          <w:ilvl w:val="0"/>
          <w:numId w:val="4"/>
        </w:numPr>
        <w:spacing w:line="360" w:lineRule="auto"/>
        <w:ind w:firstLine="648" w:firstLineChars="200"/>
        <w:rPr>
          <w:rFonts w:hint="eastAsia" w:ascii="仿宋" w:hAnsi="仿宋" w:eastAsia="仿宋" w:cs="仿宋"/>
          <w:spacing w:val="2"/>
          <w:sz w:val="32"/>
          <w:szCs w:val="32"/>
          <w:highlight w:val="none"/>
          <w:lang w:val="en-US" w:eastAsia="zh-CN"/>
        </w:rPr>
      </w:pPr>
      <w:r>
        <w:rPr>
          <w:rFonts w:hint="eastAsia" w:ascii="仿宋" w:hAnsi="仿宋" w:eastAsia="仿宋" w:cs="仿宋"/>
          <w:spacing w:val="2"/>
          <w:sz w:val="32"/>
          <w:szCs w:val="32"/>
          <w:highlight w:val="none"/>
        </w:rPr>
        <w:t>服务期限：</w:t>
      </w:r>
      <w:r>
        <w:rPr>
          <w:rFonts w:hint="eastAsia" w:ascii="仿宋" w:hAnsi="仿宋" w:eastAsia="仿宋" w:cs="仿宋"/>
          <w:spacing w:val="2"/>
          <w:sz w:val="32"/>
          <w:szCs w:val="32"/>
          <w:highlight w:val="none"/>
          <w:lang w:val="en-US" w:eastAsia="zh-CN"/>
        </w:rPr>
        <w:t>三年</w:t>
      </w:r>
      <w:r>
        <w:rPr>
          <w:rFonts w:hint="eastAsia" w:ascii="仿宋" w:hAnsi="仿宋" w:eastAsia="仿宋" w:cs="仿宋"/>
          <w:spacing w:val="2"/>
          <w:sz w:val="32"/>
          <w:szCs w:val="32"/>
          <w:highlight w:val="none"/>
        </w:rPr>
        <w:t>。</w:t>
      </w:r>
      <w:bookmarkStart w:id="2" w:name="_GoBack"/>
      <w:bookmarkEnd w:id="2"/>
      <w:r>
        <w:rPr>
          <w:rFonts w:hint="eastAsia" w:ascii="仿宋" w:hAnsi="仿宋" w:eastAsia="仿宋" w:cs="仿宋"/>
          <w:spacing w:val="2"/>
          <w:sz w:val="32"/>
          <w:szCs w:val="32"/>
          <w:highlight w:val="none"/>
          <w:lang w:val="en-US" w:eastAsia="zh-CN"/>
        </w:rPr>
        <w:t>合同一年一签，考核合格后方可续签。</w:t>
      </w:r>
    </w:p>
    <w:p w14:paraId="71B49F14">
      <w:pPr>
        <w:numPr>
          <w:ilvl w:val="0"/>
          <w:numId w:val="4"/>
        </w:numPr>
        <w:spacing w:line="360" w:lineRule="auto"/>
        <w:ind w:firstLine="648" w:firstLineChars="200"/>
        <w:rPr>
          <w:rFonts w:hint="eastAsia" w:ascii="仿宋" w:hAnsi="仿宋" w:eastAsia="仿宋" w:cs="仿宋"/>
          <w:spacing w:val="2"/>
          <w:sz w:val="32"/>
          <w:szCs w:val="32"/>
          <w:highlight w:val="none"/>
          <w:lang w:val="en-US" w:eastAsia="zh-CN"/>
        </w:rPr>
      </w:pPr>
      <w:r>
        <w:rPr>
          <w:rFonts w:hint="eastAsia" w:ascii="仿宋" w:hAnsi="仿宋" w:eastAsia="仿宋" w:cs="仿宋"/>
          <w:spacing w:val="2"/>
          <w:sz w:val="32"/>
          <w:szCs w:val="32"/>
          <w:highlight w:val="none"/>
        </w:rPr>
        <w:t>服务地点：</w:t>
      </w:r>
      <w:r>
        <w:rPr>
          <w:rFonts w:hint="eastAsia" w:ascii="仿宋" w:hAnsi="仿宋" w:eastAsia="仿宋" w:cs="仿宋"/>
          <w:spacing w:val="2"/>
          <w:sz w:val="32"/>
          <w:szCs w:val="32"/>
          <w:highlight w:val="none"/>
          <w:lang w:val="en-US" w:eastAsia="zh-CN"/>
        </w:rPr>
        <w:t>采购人指定地点。</w:t>
      </w:r>
    </w:p>
    <w:p w14:paraId="3E2F8DAD">
      <w:pPr>
        <w:numPr>
          <w:ilvl w:val="0"/>
          <w:numId w:val="4"/>
        </w:numPr>
        <w:spacing w:line="360" w:lineRule="auto"/>
        <w:ind w:left="0" w:leftChars="0" w:firstLine="648" w:firstLineChars="200"/>
        <w:rPr>
          <w:rFonts w:hint="eastAsia" w:ascii="仿宋" w:hAnsi="仿宋" w:eastAsia="仿宋" w:cs="仿宋"/>
          <w:spacing w:val="2"/>
          <w:sz w:val="32"/>
          <w:szCs w:val="32"/>
          <w:highlight w:val="none"/>
          <w:lang w:val="en-US" w:eastAsia="zh-CN"/>
        </w:rPr>
      </w:pPr>
      <w:r>
        <w:rPr>
          <w:rFonts w:hint="eastAsia" w:ascii="仿宋" w:hAnsi="仿宋" w:eastAsia="仿宋" w:cs="仿宋"/>
          <w:spacing w:val="2"/>
          <w:sz w:val="32"/>
          <w:szCs w:val="32"/>
          <w:highlight w:val="none"/>
          <w:lang w:val="en-US" w:eastAsia="zh-CN"/>
        </w:rPr>
        <w:t>本次采购日杂用品无具体品牌指定，要求投标供应商所供产品为正规厂家生产，符合国家相关检验和安全标准。</w:t>
      </w:r>
    </w:p>
    <w:p w14:paraId="107E234B">
      <w:pPr>
        <w:keepNext w:val="0"/>
        <w:keepLines w:val="0"/>
        <w:widowControl/>
        <w:numPr>
          <w:ilvl w:val="0"/>
          <w:numId w:val="4"/>
        </w:numPr>
        <w:suppressLineNumbers w:val="0"/>
        <w:spacing w:before="100" w:beforeAutospacing="1" w:after="100" w:afterAutospacing="1"/>
        <w:ind w:left="0" w:leftChars="0" w:firstLine="648" w:firstLineChars="200"/>
        <w:rPr>
          <w:rFonts w:hint="eastAsia" w:ascii="仿宋" w:hAnsi="仿宋" w:eastAsia="仿宋" w:cs="仿宋"/>
          <w:spacing w:val="2"/>
          <w:sz w:val="32"/>
          <w:szCs w:val="32"/>
          <w:highlight w:val="none"/>
          <w:lang w:val="en-US" w:eastAsia="zh-CN"/>
        </w:rPr>
      </w:pPr>
      <w:r>
        <w:rPr>
          <w:rFonts w:hint="eastAsia" w:ascii="仿宋" w:hAnsi="仿宋" w:eastAsia="仿宋" w:cs="仿宋"/>
          <w:spacing w:val="2"/>
          <w:sz w:val="32"/>
          <w:szCs w:val="32"/>
          <w:highlight w:val="none"/>
          <w:lang w:val="en-US" w:eastAsia="zh-CN"/>
        </w:rPr>
        <w:t>杀虫气雾剂、电热蚊香片属于卫生杀虫剂，投标时须提供对应产品有效的WP开头卫生用农药登记证、农药生产许可证复印件；供货时随货附带出厂合格证，证件信息应与投标产品一致；产品毒性为微毒，不得含有国家明令禁止使用杀虫助剂、成分；到货产品生产日期较新，剩余保质期≥总保质期的 2/3；包装完整，标签标识符合农药标签管理规定；气雾剂罐体压力容器安全合格，无漏液、鼓罐。</w:t>
      </w:r>
    </w:p>
    <w:p w14:paraId="380CC67F">
      <w:pPr>
        <w:keepNext w:val="0"/>
        <w:keepLines w:val="0"/>
        <w:widowControl/>
        <w:numPr>
          <w:ilvl w:val="0"/>
          <w:numId w:val="4"/>
        </w:numPr>
        <w:suppressLineNumbers w:val="0"/>
        <w:spacing w:before="100" w:beforeAutospacing="1" w:after="100" w:afterAutospacing="1"/>
        <w:ind w:left="0" w:leftChars="0" w:firstLine="648" w:firstLineChars="200"/>
        <w:rPr>
          <w:rFonts w:hint="eastAsia" w:ascii="仿宋" w:hAnsi="仿宋" w:eastAsia="仿宋" w:cs="仿宋"/>
          <w:spacing w:val="2"/>
          <w:sz w:val="32"/>
          <w:szCs w:val="32"/>
          <w:highlight w:val="none"/>
          <w:lang w:val="en-US" w:eastAsia="zh-CN"/>
        </w:rPr>
      </w:pPr>
      <w:r>
        <w:rPr>
          <w:rFonts w:hint="eastAsia" w:ascii="仿宋" w:hAnsi="仿宋" w:eastAsia="仿宋" w:cs="仿宋"/>
          <w:spacing w:val="2"/>
          <w:sz w:val="32"/>
          <w:szCs w:val="32"/>
          <w:highlight w:val="none"/>
          <w:lang w:val="en-US" w:eastAsia="zh-CN"/>
        </w:rPr>
        <w:t>要求本清单尺寸类固定数值允许负偏离±2%，成分、克重、厚度、安全指标不允许负偏离;食品接触类：纸杯、保鲜盒、密封玻璃罐、量杯、蒸锅、鸡蛋、蜂蜜，必须符合国家强制标准食品接触产品标注GB4806系列;部分消杀、日化产品（杀虫气雾剂、蚊香片），必须符合国标;所有刷子不得出现刷毛大量脱落；医用清洗刷可耐受医院常规含氯消毒剂浸泡，无锈蚀、掉丝。</w:t>
      </w:r>
    </w:p>
    <w:p w14:paraId="6394EE7D">
      <w:pPr>
        <w:keepNext w:val="0"/>
        <w:keepLines w:val="0"/>
        <w:widowControl/>
        <w:numPr>
          <w:ilvl w:val="0"/>
          <w:numId w:val="4"/>
        </w:numPr>
        <w:suppressLineNumbers w:val="0"/>
        <w:spacing w:before="100" w:beforeAutospacing="1" w:after="100" w:afterAutospacing="1"/>
        <w:ind w:left="0" w:leftChars="0" w:firstLine="648" w:firstLineChars="200"/>
        <w:rPr>
          <w:rFonts w:hint="eastAsia" w:ascii="仿宋" w:hAnsi="仿宋" w:eastAsia="仿宋" w:cs="仿宋"/>
          <w:spacing w:val="2"/>
          <w:sz w:val="32"/>
          <w:szCs w:val="32"/>
          <w:highlight w:val="none"/>
          <w:lang w:val="en-US" w:eastAsia="zh-CN"/>
        </w:rPr>
      </w:pPr>
      <w:r>
        <w:rPr>
          <w:rFonts w:hint="eastAsia" w:ascii="仿宋" w:hAnsi="仿宋" w:eastAsia="仿宋" w:cs="仿宋"/>
          <w:spacing w:val="2"/>
          <w:sz w:val="32"/>
          <w:szCs w:val="32"/>
          <w:highlight w:val="none"/>
          <w:lang w:val="en-US" w:eastAsia="zh-CN"/>
        </w:rPr>
        <w:t>利器盒技术要求及配置要求：</w:t>
      </w:r>
    </w:p>
    <w:p w14:paraId="2B02FA4D">
      <w:pPr>
        <w:keepNext w:val="0"/>
        <w:keepLines w:val="0"/>
        <w:widowControl/>
        <w:numPr>
          <w:ilvl w:val="0"/>
          <w:numId w:val="0"/>
        </w:numPr>
        <w:suppressLineNumbers w:val="0"/>
        <w:spacing w:before="100" w:beforeAutospacing="1" w:after="100" w:afterAutospacing="1"/>
        <w:ind w:leftChars="200" w:firstLine="324" w:firstLineChars="100"/>
        <w:rPr>
          <w:rFonts w:hint="eastAsia" w:ascii="仿宋" w:hAnsi="仿宋" w:eastAsia="仿宋" w:cs="仿宋"/>
          <w:spacing w:val="2"/>
          <w:sz w:val="32"/>
          <w:szCs w:val="32"/>
          <w:highlight w:val="none"/>
          <w:lang w:val="en-US" w:eastAsia="zh-CN"/>
        </w:rPr>
      </w:pPr>
      <w:r>
        <w:rPr>
          <w:rFonts w:hint="eastAsia" w:ascii="仿宋" w:hAnsi="仿宋" w:eastAsia="仿宋" w:cs="仿宋"/>
          <w:spacing w:val="2"/>
          <w:sz w:val="32"/>
          <w:szCs w:val="32"/>
          <w:highlight w:val="none"/>
          <w:lang w:val="en-US" w:eastAsia="zh-CN"/>
        </w:rPr>
        <w:t>6.1、利器盒，医疗垃圾桶，按照HJ 421-2008《医疗废物专用包装袋、容器和警示标志标准》的规范要求组织生产，产品采用新聚丙烯料，不含PVC，具有方便、安全、无毒，耐穿刺，不渗漏，易于高温焚烧，封闭后无法在不破坏的情况下打开，经质量技术监督检测合格，且提供相关检验报告。</w:t>
      </w:r>
    </w:p>
    <w:p w14:paraId="73582FE0">
      <w:pPr>
        <w:spacing w:line="360" w:lineRule="auto"/>
        <w:ind w:firstLine="648" w:firstLineChars="200"/>
        <w:rPr>
          <w:rFonts w:hint="eastAsia" w:ascii="仿宋" w:hAnsi="仿宋" w:eastAsia="仿宋" w:cs="仿宋"/>
          <w:spacing w:val="2"/>
          <w:sz w:val="32"/>
          <w:szCs w:val="32"/>
          <w:highlight w:val="none"/>
          <w:lang w:val="en-US" w:eastAsia="zh-CN"/>
        </w:rPr>
      </w:pPr>
      <w:r>
        <w:rPr>
          <w:rFonts w:hint="eastAsia" w:ascii="仿宋" w:hAnsi="仿宋" w:eastAsia="仿宋" w:cs="仿宋"/>
          <w:spacing w:val="2"/>
          <w:sz w:val="32"/>
          <w:szCs w:val="32"/>
          <w:highlight w:val="none"/>
          <w:lang w:val="en-US" w:eastAsia="zh-CN"/>
        </w:rPr>
        <w:t>6.2、使用方便、安全：能方便分离注射器的针头，分离针头时注射器内的残液不易外溅；利器盒工作口设计合理、大小适中，在分离输液器的针头时，也要有较大操作空间，确保方便安全。</w:t>
      </w:r>
    </w:p>
    <w:p w14:paraId="35D7A6D7">
      <w:pPr>
        <w:spacing w:line="360" w:lineRule="auto"/>
        <w:ind w:firstLine="648" w:firstLineChars="200"/>
        <w:rPr>
          <w:rFonts w:hint="eastAsia" w:ascii="仿宋" w:hAnsi="仿宋" w:eastAsia="仿宋" w:cs="仿宋"/>
          <w:spacing w:val="2"/>
          <w:sz w:val="32"/>
          <w:szCs w:val="32"/>
          <w:highlight w:val="none"/>
          <w:lang w:val="en-US" w:eastAsia="zh-CN"/>
        </w:rPr>
      </w:pPr>
      <w:r>
        <w:rPr>
          <w:rFonts w:hint="eastAsia" w:ascii="仿宋" w:hAnsi="仿宋" w:eastAsia="仿宋" w:cs="仿宋"/>
          <w:spacing w:val="2"/>
          <w:sz w:val="32"/>
          <w:szCs w:val="32"/>
          <w:highlight w:val="none"/>
          <w:lang w:val="en-US" w:eastAsia="zh-CN"/>
        </w:rPr>
        <w:t>7、本次采购为医院保障性计划采购，中标供应商需根据采购人实际需求种类、数量分批次按需供货，而非一次性供货。</w:t>
      </w:r>
    </w:p>
    <w:p w14:paraId="079FEE93">
      <w:pPr>
        <w:spacing w:line="360" w:lineRule="auto"/>
        <w:ind w:firstLine="648" w:firstLineChars="200"/>
        <w:rPr>
          <w:rFonts w:hint="eastAsia" w:ascii="仿宋" w:hAnsi="仿宋" w:eastAsia="仿宋" w:cs="仿宋"/>
          <w:spacing w:val="2"/>
          <w:sz w:val="32"/>
          <w:szCs w:val="32"/>
          <w:highlight w:val="none"/>
        </w:rPr>
      </w:pPr>
      <w:r>
        <w:rPr>
          <w:rFonts w:hint="eastAsia" w:ascii="仿宋" w:hAnsi="仿宋" w:eastAsia="仿宋" w:cs="仿宋"/>
          <w:spacing w:val="2"/>
          <w:sz w:val="32"/>
          <w:szCs w:val="32"/>
          <w:highlight w:val="none"/>
          <w:lang w:val="en-US" w:eastAsia="zh-CN"/>
        </w:rPr>
        <w:t>8、</w:t>
      </w:r>
      <w:r>
        <w:rPr>
          <w:rFonts w:hint="eastAsia" w:ascii="仿宋" w:hAnsi="仿宋" w:eastAsia="仿宋" w:cs="仿宋"/>
          <w:spacing w:val="2"/>
          <w:sz w:val="32"/>
          <w:szCs w:val="32"/>
          <w:highlight w:val="none"/>
        </w:rPr>
        <w:t>支付约定：本项目按月根据实际配送数量进行结算（结算金额=合同成交单价×实际配送数量-考核扣减金额），原则上于每月</w:t>
      </w:r>
      <w:r>
        <w:rPr>
          <w:rFonts w:hint="eastAsia" w:ascii="仿宋" w:hAnsi="仿宋" w:eastAsia="仿宋" w:cs="仿宋"/>
          <w:spacing w:val="2"/>
          <w:sz w:val="32"/>
          <w:szCs w:val="32"/>
          <w:highlight w:val="none"/>
          <w:lang w:val="en-US" w:eastAsia="zh-CN"/>
        </w:rPr>
        <w:t>5</w:t>
      </w:r>
      <w:r>
        <w:rPr>
          <w:rFonts w:hint="eastAsia" w:ascii="仿宋" w:hAnsi="仿宋" w:eastAsia="仿宋" w:cs="仿宋"/>
          <w:spacing w:val="2"/>
          <w:sz w:val="32"/>
          <w:szCs w:val="32"/>
          <w:highlight w:val="none"/>
        </w:rPr>
        <w:t>号前，核对上一个结算月的</w:t>
      </w:r>
      <w:r>
        <w:rPr>
          <w:rFonts w:hint="eastAsia" w:ascii="仿宋" w:hAnsi="仿宋" w:eastAsia="仿宋" w:cs="仿宋"/>
          <w:spacing w:val="2"/>
          <w:sz w:val="32"/>
          <w:szCs w:val="32"/>
          <w:highlight w:val="none"/>
          <w:lang w:eastAsia="zh-Hans"/>
        </w:rPr>
        <w:t>供</w:t>
      </w:r>
      <w:r>
        <w:rPr>
          <w:rFonts w:hint="eastAsia" w:ascii="仿宋" w:hAnsi="仿宋" w:eastAsia="仿宋" w:cs="仿宋"/>
          <w:spacing w:val="2"/>
          <w:sz w:val="32"/>
          <w:szCs w:val="32"/>
          <w:highlight w:val="none"/>
        </w:rPr>
        <w:t>货数量、内容、金额，付款条件达到后(双方已经完成结算月的结算、成交供应商已经向采购人出具</w:t>
      </w:r>
      <w:r>
        <w:rPr>
          <w:rFonts w:hint="eastAsia" w:ascii="仿宋" w:hAnsi="仿宋" w:eastAsia="仿宋" w:cs="仿宋"/>
          <w:spacing w:val="2"/>
          <w:sz w:val="32"/>
          <w:szCs w:val="32"/>
          <w:highlight w:val="none"/>
          <w:lang w:eastAsia="zh-Hans"/>
        </w:rPr>
        <w:t>符合</w:t>
      </w:r>
      <w:r>
        <w:rPr>
          <w:rFonts w:hint="eastAsia" w:ascii="仿宋" w:hAnsi="仿宋" w:eastAsia="仿宋" w:cs="仿宋"/>
          <w:spacing w:val="2"/>
          <w:sz w:val="32"/>
          <w:szCs w:val="32"/>
          <w:highlight w:val="none"/>
        </w:rPr>
        <w:t>采购人</w:t>
      </w:r>
      <w:r>
        <w:rPr>
          <w:rFonts w:hint="eastAsia" w:ascii="仿宋" w:hAnsi="仿宋" w:eastAsia="仿宋" w:cs="仿宋"/>
          <w:spacing w:val="2"/>
          <w:sz w:val="32"/>
          <w:szCs w:val="32"/>
          <w:highlight w:val="none"/>
          <w:lang w:eastAsia="zh-Hans"/>
        </w:rPr>
        <w:t>要求</w:t>
      </w:r>
      <w:r>
        <w:rPr>
          <w:rFonts w:hint="eastAsia" w:ascii="仿宋" w:hAnsi="仿宋" w:eastAsia="仿宋" w:cs="仿宋"/>
          <w:spacing w:val="2"/>
          <w:sz w:val="32"/>
          <w:szCs w:val="32"/>
          <w:highlight w:val="none"/>
        </w:rPr>
        <w:t>的增值税发票)</w:t>
      </w:r>
      <w:r>
        <w:rPr>
          <w:rFonts w:hint="eastAsia" w:ascii="仿宋" w:hAnsi="仿宋" w:eastAsia="仿宋" w:cs="仿宋"/>
          <w:spacing w:val="2"/>
          <w:sz w:val="32"/>
          <w:szCs w:val="32"/>
          <w:highlight w:val="none"/>
          <w:lang w:val="en-US" w:eastAsia="zh-CN"/>
        </w:rPr>
        <w:t>5</w:t>
      </w:r>
      <w:r>
        <w:rPr>
          <w:rFonts w:hint="eastAsia" w:ascii="仿宋" w:hAnsi="仿宋" w:eastAsia="仿宋" w:cs="仿宋"/>
          <w:spacing w:val="2"/>
          <w:sz w:val="32"/>
          <w:szCs w:val="32"/>
          <w:highlight w:val="none"/>
        </w:rPr>
        <w:t>日内进行支付，遇节假日顺延。</w:t>
      </w:r>
    </w:p>
    <w:p w14:paraId="6E8E629A">
      <w:pPr>
        <w:spacing w:line="360" w:lineRule="auto"/>
        <w:ind w:firstLine="648" w:firstLineChars="200"/>
        <w:rPr>
          <w:rFonts w:hint="eastAsia" w:ascii="仿宋" w:hAnsi="仿宋" w:eastAsia="仿宋" w:cs="仿宋"/>
          <w:spacing w:val="2"/>
          <w:sz w:val="32"/>
          <w:szCs w:val="32"/>
        </w:rPr>
      </w:pPr>
      <w:r>
        <w:rPr>
          <w:rFonts w:hint="eastAsia" w:ascii="仿宋" w:hAnsi="仿宋" w:eastAsia="仿宋" w:cs="仿宋"/>
          <w:spacing w:val="2"/>
          <w:sz w:val="32"/>
          <w:szCs w:val="32"/>
          <w:lang w:val="en-US" w:eastAsia="zh-CN"/>
        </w:rPr>
        <w:t>9、</w:t>
      </w:r>
      <w:r>
        <w:rPr>
          <w:rFonts w:hint="eastAsia" w:ascii="仿宋" w:hAnsi="仿宋" w:eastAsia="仿宋" w:cs="仿宋"/>
          <w:spacing w:val="2"/>
          <w:sz w:val="32"/>
          <w:szCs w:val="32"/>
        </w:rPr>
        <w:t>验收</w:t>
      </w:r>
    </w:p>
    <w:p w14:paraId="7F840A8C">
      <w:pPr>
        <w:spacing w:line="360" w:lineRule="auto"/>
        <w:ind w:firstLine="648" w:firstLineChars="200"/>
        <w:rPr>
          <w:rFonts w:hint="eastAsia" w:ascii="仿宋" w:hAnsi="仿宋" w:eastAsia="仿宋" w:cs="仿宋"/>
          <w:spacing w:val="2"/>
          <w:sz w:val="32"/>
          <w:szCs w:val="32"/>
        </w:rPr>
      </w:pPr>
      <w:r>
        <w:rPr>
          <w:rFonts w:hint="eastAsia" w:ascii="仿宋" w:hAnsi="仿宋" w:eastAsia="仿宋" w:cs="仿宋"/>
          <w:spacing w:val="2"/>
          <w:sz w:val="32"/>
          <w:szCs w:val="32"/>
          <w:lang w:val="en-US" w:eastAsia="zh-CN"/>
        </w:rPr>
        <w:t>9</w:t>
      </w:r>
      <w:r>
        <w:rPr>
          <w:rFonts w:hint="eastAsia" w:ascii="仿宋" w:hAnsi="仿宋" w:eastAsia="仿宋" w:cs="仿宋"/>
          <w:spacing w:val="2"/>
          <w:sz w:val="32"/>
          <w:szCs w:val="32"/>
        </w:rPr>
        <w:t>.1验收标准：按照《财政部关于进一步加强政府采购需求和履约验收管理的指导意见》（财库[2016]205号）的要求、</w:t>
      </w:r>
      <w:r>
        <w:rPr>
          <w:rFonts w:hint="eastAsia" w:ascii="仿宋" w:hAnsi="仿宋" w:eastAsia="仿宋" w:cs="仿宋"/>
          <w:spacing w:val="2"/>
          <w:sz w:val="32"/>
          <w:szCs w:val="32"/>
          <w:lang w:val="en-US" w:eastAsia="zh-CN"/>
        </w:rPr>
        <w:t>采购</w:t>
      </w:r>
      <w:r>
        <w:rPr>
          <w:rFonts w:hint="eastAsia" w:ascii="仿宋" w:hAnsi="仿宋" w:eastAsia="仿宋" w:cs="仿宋"/>
          <w:spacing w:val="2"/>
          <w:sz w:val="32"/>
          <w:szCs w:val="32"/>
        </w:rPr>
        <w:t>文件的质量要求和技术指标、供应商的响应文件及承诺以及合同约定标准组织验收。</w:t>
      </w:r>
    </w:p>
    <w:p w14:paraId="2A5694BF">
      <w:pPr>
        <w:spacing w:line="360" w:lineRule="auto"/>
        <w:ind w:firstLine="648" w:firstLineChars="200"/>
        <w:rPr>
          <w:rFonts w:hint="eastAsia" w:ascii="仿宋" w:hAnsi="仿宋" w:eastAsia="仿宋" w:cs="仿宋"/>
          <w:spacing w:val="2"/>
          <w:sz w:val="32"/>
          <w:szCs w:val="32"/>
        </w:rPr>
      </w:pPr>
      <w:r>
        <w:rPr>
          <w:rFonts w:hint="eastAsia" w:ascii="仿宋" w:hAnsi="仿宋" w:eastAsia="仿宋" w:cs="仿宋"/>
          <w:spacing w:val="2"/>
          <w:sz w:val="32"/>
          <w:szCs w:val="32"/>
          <w:lang w:val="en-US" w:eastAsia="zh-CN"/>
        </w:rPr>
        <w:t>9</w:t>
      </w:r>
      <w:r>
        <w:rPr>
          <w:rFonts w:hint="eastAsia" w:ascii="仿宋" w:hAnsi="仿宋" w:eastAsia="仿宋" w:cs="仿宋"/>
          <w:spacing w:val="2"/>
          <w:sz w:val="32"/>
          <w:szCs w:val="32"/>
        </w:rPr>
        <w:t>.2验收流程：采取现场验收的方式，双方验收人员应认真检查物资的数量及质量，按索票一点数一抽查一入库一填写验收记录的程序完成验收，成交供应商提供配送清单原件的留原件，原件只有一份而无法提供给采购人的，查验原件后索取复印件留存。每次</w:t>
      </w:r>
      <w:r>
        <w:rPr>
          <w:rFonts w:hint="eastAsia" w:ascii="仿宋" w:hAnsi="仿宋" w:eastAsia="仿宋" w:cs="仿宋"/>
          <w:sz w:val="32"/>
          <w:szCs w:val="32"/>
        </w:rPr>
        <w:t>配送的产品由采购人根据《</w:t>
      </w:r>
      <w:r>
        <w:rPr>
          <w:rFonts w:hint="eastAsia" w:ascii="仿宋" w:hAnsi="仿宋" w:eastAsia="仿宋" w:cs="仿宋"/>
          <w:spacing w:val="2"/>
          <w:sz w:val="32"/>
          <w:szCs w:val="32"/>
        </w:rPr>
        <w:t>采购</w:t>
      </w:r>
      <w:r>
        <w:rPr>
          <w:rFonts w:hint="eastAsia" w:ascii="仿宋" w:hAnsi="仿宋" w:eastAsia="仿宋" w:cs="仿宋"/>
          <w:sz w:val="32"/>
          <w:szCs w:val="32"/>
        </w:rPr>
        <w:t>清单》和《</w:t>
      </w:r>
      <w:r>
        <w:rPr>
          <w:rFonts w:hint="eastAsia" w:ascii="仿宋" w:hAnsi="仿宋" w:eastAsia="仿宋" w:cs="仿宋"/>
          <w:spacing w:val="2"/>
          <w:sz w:val="32"/>
          <w:szCs w:val="32"/>
        </w:rPr>
        <w:t>配送清单</w:t>
      </w:r>
      <w:r>
        <w:rPr>
          <w:rFonts w:hint="eastAsia" w:ascii="仿宋" w:hAnsi="仿宋" w:eastAsia="仿宋" w:cs="仿宋"/>
          <w:sz w:val="32"/>
          <w:szCs w:val="32"/>
        </w:rPr>
        <w:t>》核对进行验收，验收合格后经双方签字确认</w:t>
      </w:r>
      <w:r>
        <w:rPr>
          <w:rFonts w:hint="eastAsia" w:ascii="仿宋" w:hAnsi="仿宋" w:eastAsia="仿宋" w:cs="仿宋"/>
          <w:spacing w:val="2"/>
          <w:sz w:val="32"/>
          <w:szCs w:val="32"/>
        </w:rPr>
        <w:t>。每次更换的产品都要登记验收记录，注明产品名称、数量、单价等事项并在采购登记记录上签明意见和验收人的名字及日期。</w:t>
      </w:r>
    </w:p>
    <w:p w14:paraId="662F6B82">
      <w:pPr>
        <w:spacing w:line="360" w:lineRule="auto"/>
        <w:ind w:firstLine="648" w:firstLineChars="200"/>
        <w:rPr>
          <w:rFonts w:hint="eastAsia" w:ascii="仿宋" w:hAnsi="仿宋" w:eastAsia="仿宋" w:cs="仿宋"/>
          <w:spacing w:val="2"/>
          <w:sz w:val="32"/>
          <w:szCs w:val="32"/>
        </w:rPr>
      </w:pPr>
      <w:r>
        <w:rPr>
          <w:rFonts w:hint="eastAsia" w:ascii="仿宋" w:hAnsi="仿宋" w:eastAsia="仿宋" w:cs="仿宋"/>
          <w:spacing w:val="2"/>
          <w:sz w:val="32"/>
          <w:szCs w:val="32"/>
          <w:lang w:val="en-US" w:eastAsia="zh-CN"/>
        </w:rPr>
        <w:t>9</w:t>
      </w:r>
      <w:r>
        <w:rPr>
          <w:rFonts w:hint="eastAsia" w:ascii="仿宋" w:hAnsi="仿宋" w:eastAsia="仿宋" w:cs="仿宋"/>
          <w:spacing w:val="2"/>
          <w:sz w:val="32"/>
          <w:szCs w:val="32"/>
        </w:rPr>
        <w:t>.3验收时如发现所交付的产品有缺失、次品、损坏或其他不符合标准及本合同规定之情形者，采购人应做出详尽的现场记录，或由双方签署备忘录，此现场记录或备忘录可用作补充、缺失和更换损坏部件的有效证据，由此产生的时间延误与有关费用由成交供应商承担，验收期限相应顺延。</w:t>
      </w:r>
    </w:p>
    <w:p w14:paraId="13AAC1A7">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648" w:firstLineChars="200"/>
        <w:jc w:val="left"/>
        <w:textAlignment w:val="auto"/>
        <w:outlineLvl w:val="9"/>
        <w:rPr>
          <w:rFonts w:hint="eastAsia" w:ascii="仿宋" w:hAnsi="仿宋" w:eastAsia="仿宋" w:cs="仿宋"/>
          <w:spacing w:val="2"/>
          <w:kern w:val="2"/>
          <w:sz w:val="32"/>
          <w:szCs w:val="32"/>
          <w:lang w:val="en-US" w:eastAsia="zh-CN" w:bidi="ar-SA"/>
        </w:rPr>
      </w:pPr>
      <w:r>
        <w:rPr>
          <w:rFonts w:hint="eastAsia" w:ascii="仿宋" w:hAnsi="仿宋" w:eastAsia="仿宋" w:cs="仿宋"/>
          <w:spacing w:val="2"/>
          <w:kern w:val="2"/>
          <w:sz w:val="32"/>
          <w:szCs w:val="32"/>
          <w:lang w:val="en-US" w:eastAsia="zh-CN" w:bidi="ar-SA"/>
        </w:rPr>
        <w:t>10、其他未尽事宜，签订合同时双方协商确定。</w:t>
      </w:r>
    </w:p>
    <w:p w14:paraId="7C3260F4">
      <w:pPr>
        <w:spacing w:line="360" w:lineRule="auto"/>
        <w:ind w:firstLine="648" w:firstLineChars="200"/>
        <w:rPr>
          <w:rFonts w:hint="eastAsia" w:ascii="仿宋" w:hAnsi="仿宋" w:eastAsia="仿宋" w:cs="仿宋"/>
          <w:spacing w:val="2"/>
          <w:sz w:val="32"/>
          <w:szCs w:val="32"/>
          <w:lang w:val="en-US" w:eastAsia="zh-CN"/>
        </w:rPr>
      </w:pPr>
    </w:p>
    <w:bookmarkEnd w:id="0"/>
    <w:bookmarkEnd w:id="1"/>
    <w:p w14:paraId="7E251FF6">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b/>
          <w:bCs/>
          <w:color w:val="auto"/>
          <w:sz w:val="21"/>
          <w:szCs w:val="22"/>
          <w:highlight w:val="none"/>
        </w:rPr>
      </w:pPr>
      <w:r>
        <w:rPr>
          <w:rFonts w:hint="eastAsia" w:ascii="宋体" w:hAnsi="宋体" w:eastAsia="宋体" w:cs="宋体"/>
          <w:b/>
          <w:bCs/>
          <w:color w:val="auto"/>
          <w:sz w:val="24"/>
          <w:szCs w:val="24"/>
          <w:highlight w:val="none"/>
        </w:rPr>
        <w:t>注：</w:t>
      </w: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以上带★号条款为实质性要求。</w:t>
      </w:r>
    </w:p>
    <w:p w14:paraId="4244C272">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本项目所涉及的所有国家标准、地方标准、行业标准等如有最新的标准以最新标准为准。</w:t>
      </w:r>
    </w:p>
    <w:p w14:paraId="53C35824">
      <w:pPr>
        <w:pStyle w:val="4"/>
        <w:ind w:left="0" w:leftChars="0" w:firstLine="0" w:firstLineChars="0"/>
        <w:rPr>
          <w:rFonts w:hint="eastAsia"/>
          <w:lang w:val="en-US" w:eastAsia="zh-CN"/>
        </w:rPr>
      </w:pPr>
    </w:p>
    <w:p w14:paraId="45FCE904">
      <w:pPr>
        <w:rPr>
          <w:rFonts w:hint="eastAsia"/>
          <w:lang w:val="en-US" w:eastAsia="zh-CN"/>
        </w:rPr>
      </w:pPr>
    </w:p>
    <w:p w14:paraId="1BF80C22">
      <w:pPr>
        <w:rPr>
          <w:rFonts w:hint="eastAsia" w:ascii="Calibri" w:hAnsi="Calibri"/>
          <w:b/>
          <w:bCs/>
          <w:color w:val="auto"/>
          <w:sz w:val="32"/>
          <w:szCs w:val="32"/>
          <w:lang w:val="en-US" w:eastAsia="zh-CN"/>
        </w:rPr>
      </w:pPr>
      <w:r>
        <w:rPr>
          <w:rFonts w:hint="eastAsia" w:ascii="Calibri" w:hAnsi="Calibri"/>
          <w:b/>
          <w:bCs/>
          <w:color w:val="auto"/>
          <w:sz w:val="32"/>
          <w:szCs w:val="32"/>
        </w:rPr>
        <w:t>附件2：报价</w:t>
      </w:r>
      <w:r>
        <w:rPr>
          <w:rFonts w:hint="eastAsia" w:ascii="Calibri" w:hAnsi="Calibri"/>
          <w:b/>
          <w:bCs/>
          <w:color w:val="auto"/>
          <w:sz w:val="32"/>
          <w:szCs w:val="32"/>
          <w:lang w:val="en-US" w:eastAsia="zh-CN"/>
        </w:rPr>
        <w:t>格式</w:t>
      </w:r>
    </w:p>
    <w:p w14:paraId="38D09826">
      <w:pPr>
        <w:pStyle w:val="5"/>
        <w:ind w:left="0" w:leftChars="0" w:firstLine="0" w:firstLineChars="0"/>
        <w:rPr>
          <w:rFonts w:hint="eastAsia"/>
          <w:lang w:val="en-US" w:eastAsia="zh-CN"/>
        </w:rPr>
      </w:pPr>
    </w:p>
    <w:tbl>
      <w:tblPr>
        <w:tblStyle w:val="18"/>
        <w:tblW w:w="10627" w:type="dxa"/>
        <w:tblInd w:w="-47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5"/>
        <w:gridCol w:w="1609"/>
        <w:gridCol w:w="2801"/>
        <w:gridCol w:w="1102"/>
        <w:gridCol w:w="1410"/>
        <w:gridCol w:w="1410"/>
        <w:gridCol w:w="1410"/>
      </w:tblGrid>
      <w:tr w14:paraId="07C4D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309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C2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产品清单</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AA6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技术参数(以下涉及的固定数值处可偏离±2%，如有最新标准按最新标准执行)</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A4E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单位</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E1E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预估数量</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2CBBD">
            <w:pPr>
              <w:keepNext w:val="0"/>
              <w:keepLines w:val="0"/>
              <w:widowControl/>
              <w:suppressLineNumbers w:val="0"/>
              <w:jc w:val="center"/>
              <w:textAlignment w:val="center"/>
              <w:rPr>
                <w:rFonts w:hint="default"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单价（元）</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A82CA">
            <w:pPr>
              <w:keepNext w:val="0"/>
              <w:keepLines w:val="0"/>
              <w:widowControl/>
              <w:suppressLineNumbers w:val="0"/>
              <w:jc w:val="center"/>
              <w:textAlignment w:val="center"/>
              <w:rPr>
                <w:rFonts w:hint="default"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总价（元）</w:t>
            </w:r>
          </w:p>
        </w:tc>
      </w:tr>
      <w:tr w14:paraId="7A8AE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165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47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擦手纸</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6CA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1.规格：225mm*220mm* 1层140抽/包（140张）；材质：100%原生竹浆。</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6A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16B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CC4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848B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D8A4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980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23E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餐巾纸</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28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1.规格：230mm*230mm  2层；材质:100%纯木浆，整箱散装10公斤</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DB3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件</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A05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B0DC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B237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41FB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04D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C94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卫生散纸</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E55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1.规格：170mm*180mm*2600张/包*10包；材质:100%纯木浆，透明包装</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E69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件</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8CB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E581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5554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F1E7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925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3DC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小包抽纸</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BCE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1.规格：105mm*180mm 3层/抽/100抽（300张）；材质:100%原生竹浆</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17B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E05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1770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CE10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4AD3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0DE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FCD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软抽纸</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5C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1.规格：210mm*210mm 2层；材质:100%原生木浆，软抽、200抽/包（400张）</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AC4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提</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9DA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FEE0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477A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DC63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CCA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783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硬抽纸</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C60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1.规格：190mm*210mm 2层；材质:100%原生木浆，硬抽、200抽/盒（400张）</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6C7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提</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E18D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FA34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228E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6420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9C0A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1FE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定制小卷纸</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C0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1.规格：70g/卷*180卷 4层；材质:100%原木浆</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F5B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件</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AD4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2075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FCF8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736B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157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DED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珍宝大卷纸</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F7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1.规格：550g/卷*12卷 3层；材质:100%纯木浆</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01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件</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09D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9627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FA4A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C845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0C2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D3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方篮筐</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9D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1.规格：27*36*10cm；材质：pp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D05D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102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EDF3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5AA5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2F2C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D4A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250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方篮筐</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783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1.规格：25*35*8cm；材质：pp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0602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1FE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434D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70D5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8104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B4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6D3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方篮筐</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4E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1.规格：32*23cm*8cm；材质：pp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25A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65C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C265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9112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6E2F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4CCA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A5F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条篮筐</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E85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1.规格：13*31*6cm；材质:pp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33A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2B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6357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FBDB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03F7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1F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71D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手提筐</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D52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1.规格：34*30cm；材质：pp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31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A3B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1FBE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FDD7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6C6E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472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C3C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塑料筐</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B18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1.规格：44*31cm；材质：pp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3CD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6E2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C1B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4BB8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A03A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F4C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109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5CB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1.规格：45*34*27cm；材质：pp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D3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C71A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34F5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5324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3561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F01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244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ED1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1.规格：55*41*33cm；材质：pp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1CA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DED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75C9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B4B9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F450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F05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EF5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1FB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1.规格：62*47*37cm；材质:PP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7D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4AB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4556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FFB0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7654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283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60A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C6E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1.规格：70*52*42cm；材质：pp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2B6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79A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3B5C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7907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24BF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18A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794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DA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1.规格：80*60*50cm；材质：pp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26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9AE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141D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02D7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45C6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439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ED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9D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1.规格：28*19*17cm；材质：pp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1C8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C65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213C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D8BF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9726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06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C65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081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1.规格：33*23*18cm；材质：pp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CD1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8C2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6785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B05D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2035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DEF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5E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F89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1.规格：38*27*20cm；材质：pp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87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DD5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439D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B87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80E5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F97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6B9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C3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1.规格：65*45cm；材质：pp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8B3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194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C12C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9169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7124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6D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C55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52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1.规格：62*50cm；材质：pp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55E7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02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D4C2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3691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4CF1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53E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04F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3E2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1.规格：40*36cm；材质：pp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0C7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CF6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76C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CA13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55B0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245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05F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A5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1.规格：48*36cm；材质：pp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5E1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020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D7C2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F3F6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249C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25A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479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C06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1.规格：36*52cm；材质：pp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499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4A6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D07B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E643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9402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552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504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高款中号收纳箱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F27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规格;31*22*18cm；材质：pp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2D4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05F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D531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3890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36BC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D9B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1D9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喷壶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F4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1.规格：5L；材质：PE（大）</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F1E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6B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458C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A4AE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BE2C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8B2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4A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喷壶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E64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1.规格：3L；材质：PE（中）</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F40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DC6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2014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0627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2722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596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361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喷壶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59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1.规格：1L；材质：PE（小）</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6E2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E96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FECA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0D1B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5530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3C7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CDC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喷雾瓶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B63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规格：50ml  材质：pp及PET</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268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A3F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248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2A75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05B5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B8E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D74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喷雾瓶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CF3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规格：70ml  材质：pp及PET</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7C5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A08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8001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25C1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5465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F88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497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无痕粘钩</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56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1.规格：1板3个，承重5kg；材质:不锈钢+塑料</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6E1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板</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AD7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5593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485D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B4D6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791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B56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保鲜盒</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6E8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1.规格：16cm*11cm*6cm；材质：pp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1AB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D7D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ACBB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1E35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390E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0E0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3F0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保鲜膜</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7D2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1.规格：30cm*100m；材质:PE</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C99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卷</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ACC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3B6A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B246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F280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B0C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C2A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可吸吸管</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664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1.规格：210*6mm；材质：pp材质</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AAF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4FC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08D3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5656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272E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0B8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F17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一次性盆套</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7AA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1.规格：60*60cm；材质:PVC</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5B3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5F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4000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D041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E0CA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53A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68A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橡胶雨鞋</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3A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1.规格：45cm；材质：橡胶</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6CF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7F7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AB0A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047B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1A03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DA42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89A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胶手套（大）</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B7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1.规格：45cm；材质：乳胶</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CE2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431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1D94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4EF2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8056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019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CD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医药箱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CC0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规格：34.5*13.5*41.5cm 材质：金属</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84E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0F4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831B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4E7B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3A15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4A6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B36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养生电热烧水壶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C74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规格：1.5L，材质:不锈钢+玻璃</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E8B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A56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D3B6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9B12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8646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A85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B19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刷子</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20E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1.规格：长：14cm宽：6cm 厚：6cm；材质：塑料</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0D0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3A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BAF6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17E4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2992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7209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56B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百洁布</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A2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1.规格：1*5片；材质：涤纶+金刚砂</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37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C34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3CA4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AAA8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FA7E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A8B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3D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毛巾</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B2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1.规格：34*74*2cm；材质：纯棉纱线</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5EB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E66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7373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0ADB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4862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D6A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F06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白色方巾</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45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1.规格：35*35cm；材质:棉纱</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AAE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C50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E987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B9A7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5696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576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C51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蓝色大桶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A7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1.规格：180型（100cm*48cm）；材质：塑料pp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8AC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DFE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4453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E6AD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59C4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151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D10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防滑垫</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36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1.规格：长：18.5m宽：1.2m；厚：0.005m；材质：PVC</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95F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平方米</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60D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ADAE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FD1B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D788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2B8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614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防滑垫</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858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1.规格：长：1.5m宽：1.5m厚：0.25m；材质：PVC</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F8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平方</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7CA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3501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0FD9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6739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DF0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AF4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纸杯</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37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 规格：160ML；材质：食品级木浆纸</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B26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D95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3950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4A8C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AB2B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516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411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纸杯</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F7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 规格：60ML；材质：食品级木浆纸</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2843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35F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4899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2A3B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A6BA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71A3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85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杀虫气雾剂</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2FD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1.规格：净含量 600ml / 瓶；有效成分为炔咪菊酯、四氟苯菊酯；属于卫生用杀虫剂，具备农业农村部 WP 开头卫生用农药登记证、农药生产许可证，随货附产品合格证；符合 GB/T 18419</w:t>
            </w:r>
            <w:r>
              <w:rPr>
                <w:rFonts w:hint="eastAsia" w:ascii="仿宋" w:hAnsi="仿宋" w:eastAsia="仿宋" w:cs="仿宋"/>
                <w:i w:val="0"/>
                <w:iCs w:val="0"/>
                <w:color w:val="000000"/>
                <w:kern w:val="0"/>
                <w:sz w:val="28"/>
                <w:szCs w:val="28"/>
                <w:u w:val="none"/>
                <w:lang w:val="en-US" w:eastAsia="zh-CN" w:bidi="ar"/>
              </w:rPr>
              <w:noBreakHyphen/>
            </w:r>
            <w:r>
              <w:rPr>
                <w:rFonts w:hint="eastAsia" w:ascii="仿宋" w:hAnsi="仿宋" w:eastAsia="仿宋" w:cs="仿宋"/>
                <w:i w:val="0"/>
                <w:iCs w:val="0"/>
                <w:color w:val="000000"/>
                <w:kern w:val="0"/>
                <w:sz w:val="28"/>
                <w:szCs w:val="28"/>
                <w:u w:val="none"/>
                <w:lang w:val="en-US" w:eastAsia="zh-CN" w:bidi="ar"/>
              </w:rPr>
              <w:t>2017《家用卫生杀虫用品 杀虫气雾剂》、GB/T13917.2</w:t>
            </w:r>
            <w:r>
              <w:rPr>
                <w:rFonts w:hint="eastAsia" w:ascii="仿宋" w:hAnsi="仿宋" w:eastAsia="仿宋" w:cs="仿宋"/>
                <w:i w:val="0"/>
                <w:iCs w:val="0"/>
                <w:color w:val="000000"/>
                <w:kern w:val="0"/>
                <w:sz w:val="28"/>
                <w:szCs w:val="28"/>
                <w:u w:val="none"/>
                <w:lang w:val="en-US" w:eastAsia="zh-CN" w:bidi="ar"/>
              </w:rPr>
              <w:noBreakHyphen/>
            </w:r>
            <w:r>
              <w:rPr>
                <w:rFonts w:hint="eastAsia" w:ascii="仿宋" w:hAnsi="仿宋" w:eastAsia="仿宋" w:cs="仿宋"/>
                <w:i w:val="0"/>
                <w:iCs w:val="0"/>
                <w:color w:val="000000"/>
                <w:kern w:val="0"/>
                <w:sz w:val="28"/>
                <w:szCs w:val="28"/>
                <w:u w:val="none"/>
                <w:lang w:val="en-US" w:eastAsia="zh-CN" w:bidi="ar"/>
              </w:rPr>
              <w:t>2025 标准；微毒，适用于室内驱杀蚊、蝇、蟑螂；罐体压力容器符合安全规范，标签标识完整清晰；生产日期新鲜，剩余保质期不少于 2/3；禁止含有国家禁用成分</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D08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瓶</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2F4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D73D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299A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4C58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184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E8E8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洗手液</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35B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1.规格：5kg/桶 成分：去离子水，表面活性剂，香精，食用色素等</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78D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桶</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3A9E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711A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9A81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C7C6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75D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8AA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套装刷子</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2E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1.规格：48*14cm；材质:pp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069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291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EB05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D3F5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5F0E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C8E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1A3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自封袋</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9E8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1.规格：16*23+4cm；材质:牛皮纸</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BE4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562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178C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8803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825C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FCE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DBB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体重秤</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EAB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1.规格：50kg；材质:金属+玻璃</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C0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760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705C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952F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4E64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E29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497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头花</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0E0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1.钻石花，材质：棉布</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C50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朵</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5D4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12D9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2CD6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21A5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B4C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71B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电热蚊香片加热器</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0C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1.规格：卷线式，线头1.2米</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FE2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F8E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1316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649E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FFD7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6CD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418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灭蚊药片</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F4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1.规格：60片/盒；卫生用杀虫剂，具备农业农村部 WP 开头卫生用农药登记证、农药生产许可证，随货附产品合格证；符合 GB/T 18418</w:t>
            </w:r>
            <w:r>
              <w:rPr>
                <w:rFonts w:hint="eastAsia" w:ascii="仿宋" w:hAnsi="仿宋" w:eastAsia="仿宋" w:cs="仿宋"/>
                <w:i w:val="0"/>
                <w:iCs w:val="0"/>
                <w:color w:val="000000"/>
                <w:kern w:val="0"/>
                <w:sz w:val="28"/>
                <w:szCs w:val="28"/>
                <w:u w:val="none"/>
                <w:lang w:val="en-US" w:eastAsia="zh-CN" w:bidi="ar"/>
              </w:rPr>
              <w:noBreakHyphen/>
            </w:r>
            <w:r>
              <w:rPr>
                <w:rFonts w:hint="eastAsia" w:ascii="仿宋" w:hAnsi="仿宋" w:eastAsia="仿宋" w:cs="仿宋"/>
                <w:i w:val="0"/>
                <w:iCs w:val="0"/>
                <w:color w:val="000000"/>
                <w:kern w:val="0"/>
                <w:sz w:val="28"/>
                <w:szCs w:val="28"/>
                <w:u w:val="none"/>
                <w:lang w:val="en-US" w:eastAsia="zh-CN" w:bidi="ar"/>
              </w:rPr>
              <w:t>2018、GB/T13917.5 标准；有效成分为拟除虫菊酯类（含或相当于炔丙菊酯、氯氟醚菊酯）；微毒，挥发稳定，驱蚊效果良好；药片基材完整无破碎；包装标识齐全；剩余保质期不少于 2/3，无国家禁用助剂</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079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EE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39C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D697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A60D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33A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BF2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大封口胶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20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1.规格：宽：6cm*100码；材质:PVC</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8EF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150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93CB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27A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7402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1DB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82C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封口胶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43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1.规格：宽：3cm*100码；材质:PVC</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E58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C31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946B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FB6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CF31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579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752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驱蚊花露水</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99A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1.规格：80ml；材质：驱蚊脂45%</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1CF0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瓶</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085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2ADF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ACB4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255A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73F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9AB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防水袖套</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B45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1.规格：35cm；材质:PVC</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891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10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1A65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F6CC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FEAB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9C8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310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密封玻璃罐</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A6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规格：500ml；材质：玻璃</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B06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A35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06BB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62E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0CDD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649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945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保温水瓶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A7F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1.规格：8泵；材质；不锈钢+内胆</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0D0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B3A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35C6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0F2B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B88E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D8A9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BAD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保温水瓶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4E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1.规格：8泵；材质：pp+内胆</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52C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6BC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2E8E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2D4D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CEA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0B0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733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电子计时器</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64D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1.规格：14cm*9cm；材质:金属材料</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309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B45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48F1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A9C3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043F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946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9CC4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泡沫双面胶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96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1.规格：2MM；材质:泡沫+胶水</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9B3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81A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DF74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0763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8A19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3A0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57E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浴足木桶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67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1.规格：350mm*350mm材质：木质</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01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2D4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DD8F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ADC5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3479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B2F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C48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一次性披肩围布</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283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规格：1m*1m；材质：聚乙烯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863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243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BA2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6B8F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4268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FBE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D3C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串联红旗</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B4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1.规格：13.5cm*20cm  7米/串  材质:涤纶</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E4C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BFF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D0C6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9ECC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CD9A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9B9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A05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小红旗</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9A6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材质:涤纶   规格：13.5cm*20.5cm</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5B7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ED4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25AE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D865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A1DD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27B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CC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圆形利器盒</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F8A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1.规格：1L  材质:聚丙烯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8E2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5D9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480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A13D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B683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542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EA7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圆形利器盒  </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85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1.规格：3L  材质:聚丙烯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64BA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6BB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89AD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BF32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78C8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8387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8E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圆形利器盒 </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A4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 5L  材质:聚丙烯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911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548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8200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8203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6A5F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437A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86F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BDA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方形利器盒  </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1B1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1.规格：15L  材质:聚丙烯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3BC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B3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B108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5F69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ADD9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587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905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方形利器盒  </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67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1.规格：25L  材质:聚丙烯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A66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2B1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176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C1A2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7A46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F03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035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医疗废物封口标签</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161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1.规格：7*5cm  材质:PP背胶纸</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D5F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卷</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934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2B32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DF76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E612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391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62C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医用垃圾袋专用扎带</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FE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1.规格：40*250cm 黄色    材质:尼龙</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997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F89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2E51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699D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EEED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BBAB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263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定制不锈钢托架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74DE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规格：80*60*20 材质：不锈钢</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91E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C5BA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062A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6485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551E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040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DA6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医疗垃圾桶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BC5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1.规格：20L  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057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450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47D9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D896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A77E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4A01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296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医疗垃圾桶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51F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规格：40L  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FA6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9427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EB30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5DC6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7EBC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EE0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FE4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一次性手套</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5B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规格：100双  材质:聚乙烯PE</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4D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90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6FF4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2D2B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A95C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E16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453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电吹风</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331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规格：1800W 功能:护发，负离子，恒温</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BDF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7A9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1B2B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2552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4C64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F5A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037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户外垃圾桶内胆</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2D8A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规格：31*31*43，材质:镀锌</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990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487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4B31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9EB7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1D0B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042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C16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浴巾</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E1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规格：70cm*140cm  材质:超细纤维</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7588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364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218D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587E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20CD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3DB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7C2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粘鼠板</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30D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规格：17cm*22cm  材质:硬底板强力诱香蕉水</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926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6BB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9812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0C02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1931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3EF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277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落地工业电风扇</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E37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规格：650型，材质:铁+铜</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92C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A04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69B3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E4C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63F5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743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9CC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电动喷雾器</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D12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规格20L材质:铜芯高压隔膜泵+PP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1F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2CA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D608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435A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F90C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77C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E1D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小包手帕纸</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4E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规格：210mm*210mm；材质：原生木浆</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7A8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F5E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C5E9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E16B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6072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2EE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360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艾草生姜精油</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DA45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规格：500ml；成分：艾草油.生姜油.岩兰草根油.葡萄籽油.辣椒提取物.五味子提取物</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858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12B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B8BD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290C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423B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839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417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挂锁</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120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规格：38mm  材质:合金</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0BB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34E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C2A6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AC37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4418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7F2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914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保温桶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A24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规格：46L，材质:不锈钢</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177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9FD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2EFD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DF24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040A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AD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481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塑料桶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213B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规格：15kg  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46A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DB7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2D02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3CD7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4A7F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05E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D5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保温桶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FB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规格：带龙头36L，材质:不锈钢</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A18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5B3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FF7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46AB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BA3D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857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03E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304不锈钢三层蒸锅</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E6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规格：32cm，材质:不锈钢</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1D0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A3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592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79EA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9844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A5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35B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不锈钢梯子</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7C4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规格：1.8M  材质;不锈钢</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36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88E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C929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18DB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6B97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CE6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42F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抽纸盒</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BE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规格：24cm*12cm*9.5cm；材质：皮革</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FB8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4FA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8EFA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F0DF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EDB7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DD0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591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衣架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4A6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规格：40cm  钢芯，PP浸塑</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D783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D9D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93DA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3252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89C5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6D2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E8A2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平板推车</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65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规格：60cm*90cm  材质;ABS</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471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辆</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07C8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1F29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13A9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3E16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C40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01E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充电电筒</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253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规格：LED  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9F7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518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941D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57FB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3537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B8F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5E7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防烫手套</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59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规格：25cm*15cm 材质：精选帆布</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120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A4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68DF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B118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4290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D12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850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艾条棉纸</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745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规格：1-3cm  材质：木棉纤维</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99C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393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C80C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91AA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D9A1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D3B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F0C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遮阳伞</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5DF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规格：伞面遮阳直径≥2.5m；伞杆伞骨喷涂铝合金（太空铝或相当于），户外防锈耐腐蚀；配套可注水底座，注水后总重≥90kg；伞布防水抗紫外线，含底座整套</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889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FA9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75C2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9656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FEDE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F6B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4E1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电子体重秤</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44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规格：100Kg  材质:不锈钢</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BBC8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2BE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CAC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EE7C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B196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9F5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C6F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储物罐</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3A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规格：540ml；材质：陶瓷</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F07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F1A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0802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0A0A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CA01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DF7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8E4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储物罐</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FF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规格：1100ml；材质：陶瓷</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897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698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9F45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05A6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A997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987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449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棉带</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F6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规格：1cm 材质：棉线</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09A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EE9D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6611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1163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3E2C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8A6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EE8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一次性雨衣</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71D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规格：均码  材质:PE</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B073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件</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B0D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8937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3A25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7C5E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09A4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24B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一次性头套</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51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规格：均码，材质:PE</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8E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6A5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4966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2BD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586A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7C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016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爽身粉</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FB7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规格：140g；执行标准：Q/QWWZYT 010</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637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141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BFC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DF1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6DA7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4F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1F0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棉手套</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45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规格：1包*10双 材质:棉纱</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6ED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B84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FC19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755E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CAC0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88E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8DC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免洗拖把</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17B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规格：42cm 材质：超细纤维+不锈钢杆</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245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EC8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2431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9B9C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872D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06D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3355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加绒帆布手套</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B9C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规格：100g/双，材质:24线白甲全衬帆布</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D0C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9E4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5D72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9D52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C864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3D5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72B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塑料凳</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355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规格：30*30*46  材质：pp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62D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17B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F4E8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4765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E07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50D6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24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驱鼠器</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DEC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规格：双喇叭变频超强版  材质:ABS</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BAF0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702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264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C4B0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D017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141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E6FC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不锈钢刻度量杯</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E6B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规格：2000ml，材质:不锈钢</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998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67A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6082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70D1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568B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03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582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钢丝球</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7F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规格：017 材质:不锈钢丝</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73C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0CF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BA0B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DEE6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2F30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182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BEB6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牙刷</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5A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材质:纤细软毛 产品标准：GB 30003</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C3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4C3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1307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3DBB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A2AA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BBB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C28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电击式灭蚊灯</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068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规格：10W 材质:铝合金+阻燃ABS</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CE1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73D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B242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E0CC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C00E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180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165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鸡蛋</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18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规格：食用鲜鸡蛋，单枚重量 48</w:t>
            </w:r>
            <w:r>
              <w:rPr>
                <w:rFonts w:hint="eastAsia" w:ascii="仿宋" w:hAnsi="仿宋" w:eastAsia="仿宋" w:cs="仿宋"/>
                <w:i w:val="0"/>
                <w:iCs w:val="0"/>
                <w:color w:val="000000"/>
                <w:kern w:val="0"/>
                <w:sz w:val="28"/>
                <w:szCs w:val="28"/>
                <w:u w:val="none"/>
                <w:lang w:val="en-US" w:eastAsia="zh-CN" w:bidi="ar"/>
              </w:rPr>
              <w:noBreakHyphen/>
            </w:r>
            <w:r>
              <w:rPr>
                <w:rFonts w:hint="eastAsia" w:ascii="仿宋" w:hAnsi="仿宋" w:eastAsia="仿宋" w:cs="仿宋"/>
                <w:i w:val="0"/>
                <w:iCs w:val="0"/>
                <w:color w:val="000000"/>
                <w:kern w:val="0"/>
                <w:sz w:val="28"/>
                <w:szCs w:val="28"/>
                <w:u w:val="none"/>
                <w:lang w:val="en-US" w:eastAsia="zh-CN" w:bidi="ar"/>
              </w:rPr>
              <w:t>52g；符合 GB 2749</w:t>
            </w:r>
            <w:r>
              <w:rPr>
                <w:rFonts w:hint="eastAsia" w:ascii="仿宋" w:hAnsi="仿宋" w:eastAsia="仿宋" w:cs="仿宋"/>
                <w:i w:val="0"/>
                <w:iCs w:val="0"/>
                <w:color w:val="000000"/>
                <w:kern w:val="0"/>
                <w:sz w:val="28"/>
                <w:szCs w:val="28"/>
                <w:u w:val="none"/>
                <w:lang w:val="en-US" w:eastAsia="zh-CN" w:bidi="ar"/>
              </w:rPr>
              <w:noBreakHyphen/>
            </w:r>
            <w:r>
              <w:rPr>
                <w:rFonts w:hint="eastAsia" w:ascii="仿宋" w:hAnsi="仿宋" w:eastAsia="仿宋" w:cs="仿宋"/>
                <w:i w:val="0"/>
                <w:iCs w:val="0"/>
                <w:color w:val="000000"/>
                <w:kern w:val="0"/>
                <w:sz w:val="28"/>
                <w:szCs w:val="28"/>
                <w:u w:val="none"/>
                <w:lang w:val="en-US" w:eastAsia="zh-CN" w:bidi="ar"/>
              </w:rPr>
              <w:t>2015 食品安全国家标准；蛋壳完整无裂纹破损，无散黄、变质、异味，新鲜合格</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BBE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EF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9FBE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8B20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4761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C1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FA3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大喇叭</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A2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规格：A50Max  材质:ABS</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CCF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9B16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A773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0D96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065E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2AC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A3D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手术室防滑包头拖鞋</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793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规格：一体成型；材质：环保EVA</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DC8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811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0216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70E7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F41E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31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39D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艾灸锤（成品）</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B42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规格：31cm  成分:艾草</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02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13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492C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E40D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45E4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2D1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1983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天然土蜂蜡</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B5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规格：500g  成分：蜂巢坠脾</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4B4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斤</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58B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5C05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9DF8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9832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967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F6E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供应室器械清洁刷</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9D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规格：220*45/30*11/14mm，尺寸允许 ±2%；刷杆不锈钢，尼龙丝刷毛；刷毛粘接牢固，刷洗过程无掉丝；耐常用医用消毒剂浸泡；用于器械缝隙清洗</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EF1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16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41E2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6CE5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4D92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423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362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供应室器械清洁刷</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39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规格：15*80*220mm，尺寸允许 ±2%；刷杆不锈钢，尼龙丝刷毛；刷毛牢固不易脱落，耐医用消毒剂；用于手术器械清洗丝</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FFC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1A6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057E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9970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3868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C9C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1F6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供应室器械清洁刷</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E2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规格：12*35*180mm，尺寸允许 ±2%；刷杆不锈钢，尼龙丝刷毛；刷毛牢固不掉丝，耐受医用消毒试剂；适配细小器械缝隙刷洗</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C51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72D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3674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BBAA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15D7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37A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AA5A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双头水汽按钮清洗刷管</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BD1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规格：C型双头，总长 10cm，小头 10mm，尺寸允许 ±2%；手柄 ABS 材质，刷毛杜邦丝；刷毛紧固，不易掉毛；可耐受医用消毒，适用于设备按钮缝隙清洗</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01F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EC3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B95D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C736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E437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87F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70A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刷腔镜细长刷</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46D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规格：总长70cm直径1cm，材质:不锈钢杆+弹力丝毛总长 70cm，直径 1cm，尺寸允许 ±2%；不锈钢杆，弹力丝毛；刷毛牢固，使用无掉丝；可耐受医用消毒剂，适用于腔镜管腔清洗</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098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7ED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40D7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DCC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93BE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887D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A50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刷腔镜细长刷</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D92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规格：总长70cm直径1.2cm，材质:不锈钢杆+弹力丝毛总长 70cm，直径 1.2cm，尺寸允许 ±2%；不锈钢杆，弹力丝毛；刷毛紧固不掉毛；适配腔镜管道清洗，耐消毒浸泡</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CDC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0FF1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ABD3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3AC3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8CE3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1E5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EDE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刷腔镜细长刷</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C3E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规格：总长70cm直径5mm，材质:不锈钢杆+弹力丝毛总长 70cm，直径 5mm，尺寸允许 ±2%；不锈钢杆，弹力丝毛；刷毛牢固无掉丝；用于细小腔镜管道刷洗</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07E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BFF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9A98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6F43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8562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29C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41B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管腔刷</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72C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规格：刷头直径 4mm，尺寸允许 ±2%；不锈钢丝刷体；刷毛牢固不易脱落；适用于各类细管腔清洗，耐受医用消毒剂</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444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888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D63A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A078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ED58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1E12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5BA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内窥镜海绵刷</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CAA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规格：5.5cm*10cm 材质:PVA</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C87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D96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3575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F171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4473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958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3329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尼龙丝加长细试管刷</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6BA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规格：总长 50cm，刷头直径 10mm，尺寸允许 ±2%；不锈钢杆，尼龙丝刷毛；刷毛牢固不掉丝；耐消毒剂，适用于各类管状容器清洗</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C78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3B2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053A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B47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D690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B50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32C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尼龙丝加长细试管刷</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F68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规格：总长 50cm，刷头直径 7mm，尺寸允许 ±2%；不锈钢杆，尼龙丝刷毛；刷毛紧固，耐医用消毒试剂</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C50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8D3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E86A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96BD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FE66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83A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CC1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尼龙丝加长细试管刷</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640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规格：总长50cm直径5mm，材质:不锈钢杆+尼龙丝总长 50cm，刷头直径 5mm，尺寸允许 ±2%；不锈钢杆，尼龙丝刷毛；无掉丝脱毛现象</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A6D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CF9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6F8F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FCC1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5A1C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B40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C00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尼龙丝加长细试管刷</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09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规格：刷头直径 10mm，尺寸允许 ±2%；不锈钢杆 + 尼龙丝刷毛；刷毛粘接牢固，刷洗不掉丝；可耐受医用消毒，用于气管套管清洗2%；不锈钢杆，尼龙丝刷毛；刷毛牢固，适配细小管体清洗</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0B9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FCD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B7AE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103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5517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4A6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D78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拉链</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998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规格：单头开口150cm，材质:锌合金+布边</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6BC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条</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360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A343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0FB5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8054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59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33D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尼龙闭尾拉链</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2B5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规格：15cm  材质:金属拉头+布边</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425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根</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519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CF23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25D3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52C4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6E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E95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拉链</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AE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规格：18cm  材质：金属拉头+布边</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2E2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根</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7ED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8479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9511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B7A4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472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D6C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气管套管刷</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54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规格：直径10mm，材质:不锈钢杆+尼龙丝</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DB5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8FF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CFC0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1CC0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C798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BFB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077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艾灸点火器1200W</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B1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规格：直径约22cm；材质：防烫PC/耐高温微晶面板</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85D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FE2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B782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3B22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37FA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0EE4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B0C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刻度量杯</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1F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规格：500ml；材质：食品级PP</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17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BF5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BC8C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3BA4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EF68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2CA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A98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一次性红地毯</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11C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规格：1m*10m；材质：聚酯纤维</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56D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E3E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CE18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24BD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568C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8CF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A30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密封玻璃罐</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274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规格：100ml；材质：玻璃</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C4C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3A0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36</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2C0B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26A3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18CC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642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4EC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痰盂</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837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规格：11*22*14cm材质：搪瓷</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ECD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455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40AC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69FC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B9EB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AB9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CA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脉诊</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83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规格：25*12*6.5cm  材质：皮革</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4B5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A9D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269D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4966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D04D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F48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D44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蜂蜜</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C6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规格：500g  配料：蜂蜜</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6AD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斤</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43C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E27B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8D7D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4A85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89B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F9F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铜丝除锈刷</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24C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规格：大号；铜丝刷毛；刷柄牢固；适用于金属器械表面除锈除垢</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4CC2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把</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ACA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DCA6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5FC4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5F54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CA4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C6C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保鲜袋</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68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规格：30*20cm 材质：聚乙烯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35B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卷</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FC0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8197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71FE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A982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247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C81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保鲜袋</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10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规格：38*25cm 材质：聚乙烯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A4C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卷</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E88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1B44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E0D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C299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71D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70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保鲜密实袋</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64E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规格：17*13*6cm 材质：聚乙烯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25C5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卷</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A62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5E0F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B6C7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F684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4A0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E26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保鲜密实袋</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8D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规格：22*17*8cm 材质：聚乙烯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AF0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卷</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893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7EBD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5A89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E4B0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496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7AB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保鲜密实袋</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483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规格：27*28*8cm 材质：聚乙烯</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25D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卷</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B8B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E7AC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854A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9C8A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340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3AC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撑开器红色</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E4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规格：40mm  材质:硅胶</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9A9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879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7122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979D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AB81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BD0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154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撑开器黄色</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AB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规格：70mm  材质:硅胶</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17A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FB0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9F0B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8CF3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4821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191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158</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D22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撑开器蓝色</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90D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规格50mm  材质:硅胶</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BA7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145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A69B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537D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4853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8B5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159</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534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全棉浴巾</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22E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规格:90cm*180cm，材质:精梳棉</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5E7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58D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EEC9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CFE3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3DA8C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B91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160</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80D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黑色毛巾</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A7B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规格：35*35cm 材质：微纤维</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4F8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0C7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C7F6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BF48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0597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6B6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161</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15D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丁腈一次性手套</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7A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规格：1盒/30只，约28cm  材质：丁腈</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7D7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23D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6FA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1664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CDB5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9E7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162</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0BA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乳胶手套</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195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规格：M 码，材质：天然橡胶</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B5F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E7F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6F94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AA80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20FB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702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163</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44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不锈钢置物架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6C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规格：36*15*10，材质:不锈钢</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30DE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BB2A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1F1F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FE4A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9441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996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164</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838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无线门铃</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C04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规格：原生态ABS环保树脂（防火等级V2）</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23F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030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0D1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97A1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99FF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F04E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165</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A5DD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百洁布海绵擦</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F93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规格:10*7*2cm .材质:涤纶+金刚砂+海绵</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71F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08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2B3D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81EA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7DFA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528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166</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C447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刮痧板</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122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规格：V 型，厚度≥8mm；边角圆滑无毛刺，表面抛光，质地坚硬不易崩边碎裂，适用于中医理疗刮痧，成套配置；材质天然水晶（或相当于），提供产品合格证明</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4F1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652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AA8A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6E1A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87B7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375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167</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AA6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保温壶</w:t>
            </w:r>
          </w:p>
        </w:tc>
        <w:tc>
          <w:tcPr>
            <w:tcW w:w="2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31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规格:2L  材质:304内胆</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BA0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F1F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D060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5CA6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84CC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62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30429">
            <w:pPr>
              <w:keepNext w:val="0"/>
              <w:keepLines w:val="0"/>
              <w:widowControl/>
              <w:suppressLineNumbers w:val="0"/>
              <w:jc w:val="left"/>
              <w:textAlignment w:val="center"/>
              <w:rPr>
                <w:rFonts w:hint="default" w:ascii="仿宋" w:hAnsi="仿宋" w:eastAsia="仿宋" w:cs="仿宋"/>
                <w:i w:val="0"/>
                <w:iCs w:val="0"/>
                <w:color w:val="000000"/>
                <w:kern w:val="0"/>
                <w:sz w:val="28"/>
                <w:szCs w:val="28"/>
                <w:u w:val="none"/>
                <w:lang w:val="en-US" w:eastAsia="zh-CN" w:bidi="ar"/>
              </w:rPr>
            </w:pPr>
            <w:r>
              <w:rPr>
                <w:rFonts w:hint="eastAsia" w:ascii="仿宋" w:hAnsi="仿宋" w:eastAsia="仿宋" w:cs="仿宋"/>
                <w:bCs/>
                <w:color w:val="auto"/>
                <w:kern w:val="2"/>
                <w:sz w:val="28"/>
                <w:szCs w:val="28"/>
                <w:lang w:val="en-US" w:eastAsia="zh-CN" w:bidi="ar-SA"/>
              </w:rPr>
              <w:t>大写总价（元）：                       小写总价：          （万元）</w:t>
            </w:r>
          </w:p>
        </w:tc>
      </w:tr>
    </w:tbl>
    <w:p w14:paraId="41D23B09">
      <w:pPr>
        <w:rPr>
          <w:rFonts w:hint="eastAsia"/>
          <w:lang w:val="en-US" w:eastAsia="zh-CN"/>
        </w:rPr>
      </w:pPr>
    </w:p>
    <w:p w14:paraId="3CD0DA89">
      <w:pPr>
        <w:rPr>
          <w:rFonts w:hint="eastAsia"/>
          <w:lang w:val="en-US" w:eastAsia="zh-CN"/>
        </w:rPr>
      </w:pPr>
    </w:p>
    <w:p w14:paraId="70E902D3">
      <w:pPr>
        <w:rPr>
          <w:rFonts w:hint="eastAsia"/>
          <w:lang w:val="en-US" w:eastAsia="zh-CN"/>
        </w:rPr>
      </w:pPr>
    </w:p>
    <w:p w14:paraId="3CC084E9">
      <w:pPr>
        <w:rPr>
          <w:rFonts w:hint="eastAsia" w:ascii="宋体" w:hAnsi="宋体" w:eastAsia="宋体" w:cs="宋体"/>
          <w:b w:val="0"/>
          <w:bCs/>
          <w:color w:val="0000FF"/>
          <w:kern w:val="0"/>
          <w:sz w:val="28"/>
          <w:szCs w:val="28"/>
          <w:highlight w:val="none"/>
          <w:lang w:val="en-US" w:eastAsia="zh-CN" w:bidi="ar-SA"/>
        </w:rPr>
      </w:pPr>
      <w:r>
        <w:rPr>
          <w:rFonts w:hint="eastAsia" w:ascii="仿宋" w:hAnsi="仿宋" w:eastAsia="仿宋" w:cs="Times New Roman"/>
          <w:color w:val="auto"/>
          <w:kern w:val="2"/>
          <w:sz w:val="28"/>
          <w:szCs w:val="28"/>
          <w:lang w:val="en-US" w:eastAsia="zh-CN" w:bidi="ar-SA"/>
        </w:rPr>
        <w:t>备注：1、报价表如有列举项目不全的，各报价公司可以在原表上添项，不能改变原表格内容，报价表最多保留小数点后两位。报价合计总价在列表末汇总，此报价单须单独密封。2、在本项目服务期限内，采购人应实际工作需要，需采购清单外的日杂用品，该物品参照当日京东、淘宝、天猫、拼多多等平台价格同比例下浮执行。</w:t>
      </w:r>
    </w:p>
    <w:p w14:paraId="74B29ECE">
      <w:pPr>
        <w:jc w:val="left"/>
        <w:rPr>
          <w:rFonts w:hint="default" w:ascii="仿宋" w:hAnsi="仿宋" w:eastAsia="仿宋" w:cs="Times New Roman"/>
          <w:color w:val="0000FF"/>
          <w:kern w:val="2"/>
          <w:sz w:val="28"/>
          <w:szCs w:val="28"/>
          <w:lang w:val="en-US" w:eastAsia="zh-CN" w:bidi="ar-SA"/>
        </w:rPr>
      </w:pPr>
    </w:p>
    <w:p w14:paraId="7D539EBD">
      <w:pPr>
        <w:rPr>
          <w:rFonts w:hint="eastAsia"/>
          <w:color w:val="auto"/>
          <w:lang w:val="en-US" w:eastAsia="zh-CN"/>
        </w:rPr>
      </w:pPr>
      <w:r>
        <w:rPr>
          <w:rFonts w:hint="eastAsia"/>
          <w:color w:val="auto"/>
          <w:lang w:val="en-US" w:eastAsia="zh-CN"/>
        </w:rPr>
        <w:br w:type="page"/>
      </w:r>
    </w:p>
    <w:p w14:paraId="37AC5681">
      <w:pPr>
        <w:spacing w:line="360" w:lineRule="auto"/>
        <w:outlineLvl w:val="1"/>
        <w:rPr>
          <w:color w:val="auto"/>
        </w:rPr>
      </w:pPr>
      <w:r>
        <w:rPr>
          <w:rFonts w:hint="eastAsia" w:ascii="黑体" w:hAnsi="黑体" w:eastAsia="黑体" w:cs="黑体"/>
          <w:color w:val="auto"/>
          <w:kern w:val="2"/>
          <w:sz w:val="32"/>
          <w:szCs w:val="32"/>
          <w:lang w:val="en-US" w:eastAsia="zh-CN" w:bidi="ar-SA"/>
        </w:rPr>
        <w:t>附件3：报名登记表</w:t>
      </w:r>
    </w:p>
    <w:p w14:paraId="11D5D951">
      <w:pPr>
        <w:jc w:val="center"/>
        <w:rPr>
          <w:rFonts w:ascii="华文中宋" w:hAnsi="华文中宋" w:eastAsia="华文中宋"/>
          <w:b/>
          <w:color w:val="auto"/>
          <w:sz w:val="36"/>
          <w:szCs w:val="36"/>
        </w:rPr>
      </w:pPr>
      <w:r>
        <w:rPr>
          <w:rFonts w:hint="eastAsia" w:ascii="华文中宋" w:hAnsi="华文中宋" w:eastAsia="华文中宋"/>
          <w:b/>
          <w:color w:val="auto"/>
          <w:sz w:val="36"/>
          <w:szCs w:val="36"/>
        </w:rPr>
        <w:t>报名登记表</w:t>
      </w:r>
    </w:p>
    <w:tbl>
      <w:tblPr>
        <w:tblStyle w:val="18"/>
        <w:tblpPr w:leftFromText="180" w:rightFromText="180" w:vertAnchor="text" w:horzAnchor="page" w:tblpX="1275" w:tblpY="100"/>
        <w:tblOverlap w:val="never"/>
        <w:tblW w:w="9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37"/>
        <w:gridCol w:w="1990"/>
        <w:gridCol w:w="1447"/>
        <w:gridCol w:w="2605"/>
      </w:tblGrid>
      <w:tr w14:paraId="6E79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64025D73">
            <w:pPr>
              <w:jc w:val="center"/>
              <w:rPr>
                <w:rFonts w:ascii="仿宋" w:hAnsi="仿宋" w:eastAsia="仿宋"/>
                <w:color w:val="auto"/>
                <w:kern w:val="2"/>
                <w:sz w:val="28"/>
                <w:szCs w:val="28"/>
              </w:rPr>
            </w:pPr>
            <w:r>
              <w:rPr>
                <w:rFonts w:hint="eastAsia"/>
                <w:color w:val="auto"/>
                <w:kern w:val="2"/>
                <w:sz w:val="28"/>
                <w:szCs w:val="28"/>
                <w:lang w:val="en-US" w:eastAsia="zh-CN"/>
              </w:rPr>
              <w:t>*</w:t>
            </w:r>
            <w:r>
              <w:rPr>
                <w:rFonts w:hint="eastAsia" w:ascii="仿宋" w:hAnsi="仿宋" w:eastAsia="仿宋"/>
                <w:color w:val="auto"/>
                <w:kern w:val="2"/>
                <w:sz w:val="28"/>
                <w:szCs w:val="28"/>
              </w:rPr>
              <w:t>报名项目名称（包号）</w:t>
            </w:r>
          </w:p>
        </w:tc>
        <w:tc>
          <w:tcPr>
            <w:tcW w:w="6042" w:type="dxa"/>
            <w:gridSpan w:val="3"/>
            <w:tcBorders>
              <w:top w:val="single" w:color="auto" w:sz="4" w:space="0"/>
              <w:left w:val="single" w:color="auto" w:sz="4" w:space="0"/>
              <w:bottom w:val="single" w:color="auto" w:sz="4" w:space="0"/>
              <w:right w:val="single" w:color="auto" w:sz="4" w:space="0"/>
            </w:tcBorders>
            <w:noWrap w:val="0"/>
            <w:vAlign w:val="center"/>
          </w:tcPr>
          <w:p w14:paraId="01EFE29F">
            <w:pPr>
              <w:pStyle w:val="7"/>
              <w:jc w:val="center"/>
              <w:rPr>
                <w:rFonts w:hint="eastAsia" w:ascii="仿宋" w:hAnsi="仿宋" w:eastAsia="仿宋"/>
                <w:color w:val="auto"/>
                <w:kern w:val="2"/>
                <w:sz w:val="28"/>
                <w:szCs w:val="28"/>
                <w:lang w:val="en-US" w:eastAsia="zh-CN"/>
              </w:rPr>
            </w:pPr>
            <w:r>
              <w:rPr>
                <w:rFonts w:hint="eastAsia" w:ascii="仿宋" w:hAnsi="仿宋" w:eastAsia="仿宋"/>
                <w:color w:val="auto"/>
                <w:kern w:val="2"/>
                <w:sz w:val="28"/>
                <w:szCs w:val="28"/>
                <w:lang w:val="en-US" w:eastAsia="zh-CN"/>
              </w:rPr>
              <w:t>成都市新津区中医医院日杂用品供应商配送服务采购项目询预算价</w:t>
            </w:r>
          </w:p>
        </w:tc>
      </w:tr>
      <w:tr w14:paraId="4A90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0FBD3EAE">
            <w:pPr>
              <w:ind w:firstLine="280" w:firstLineChars="100"/>
              <w:rPr>
                <w:rFonts w:ascii="仿宋" w:hAnsi="仿宋" w:eastAsia="仿宋"/>
                <w:color w:val="auto"/>
                <w:kern w:val="2"/>
                <w:sz w:val="28"/>
                <w:szCs w:val="28"/>
              </w:rPr>
            </w:pPr>
            <w:r>
              <w:rPr>
                <w:rFonts w:hint="eastAsia"/>
                <w:color w:val="auto"/>
                <w:kern w:val="2"/>
                <w:sz w:val="28"/>
                <w:szCs w:val="28"/>
                <w:lang w:val="en-US" w:eastAsia="zh-CN"/>
              </w:rPr>
              <w:t>*</w:t>
            </w:r>
            <w:r>
              <w:rPr>
                <w:rFonts w:hint="eastAsia" w:ascii="仿宋" w:hAnsi="仿宋" w:eastAsia="仿宋"/>
                <w:color w:val="auto"/>
                <w:kern w:val="2"/>
                <w:sz w:val="28"/>
                <w:szCs w:val="28"/>
              </w:rPr>
              <w:t>报名单位 /个人名称</w:t>
            </w:r>
          </w:p>
          <w:p w14:paraId="0CD2B98E">
            <w:pPr>
              <w:ind w:firstLine="236" w:firstLineChars="98"/>
              <w:rPr>
                <w:rFonts w:ascii="仿宋" w:hAnsi="仿宋" w:eastAsia="仿宋"/>
                <w:b/>
                <w:color w:val="auto"/>
                <w:kern w:val="2"/>
                <w:sz w:val="24"/>
                <w:szCs w:val="24"/>
              </w:rPr>
            </w:pPr>
            <w:r>
              <w:rPr>
                <w:rFonts w:hint="eastAsia" w:ascii="仿宋" w:hAnsi="仿宋" w:eastAsia="仿宋"/>
                <w:b/>
                <w:color w:val="auto"/>
                <w:kern w:val="2"/>
                <w:sz w:val="24"/>
                <w:szCs w:val="22"/>
              </w:rPr>
              <w:t>(统一社会信用代码/税号)</w:t>
            </w:r>
          </w:p>
        </w:tc>
        <w:tc>
          <w:tcPr>
            <w:tcW w:w="6042" w:type="dxa"/>
            <w:gridSpan w:val="3"/>
            <w:tcBorders>
              <w:top w:val="single" w:color="auto" w:sz="4" w:space="0"/>
              <w:left w:val="single" w:color="auto" w:sz="4" w:space="0"/>
              <w:bottom w:val="single" w:color="auto" w:sz="4" w:space="0"/>
              <w:right w:val="single" w:color="auto" w:sz="4" w:space="0"/>
            </w:tcBorders>
            <w:noWrap w:val="0"/>
            <w:vAlign w:val="top"/>
          </w:tcPr>
          <w:p w14:paraId="61543E9F">
            <w:pPr>
              <w:jc w:val="center"/>
              <w:rPr>
                <w:rFonts w:hint="default" w:ascii="仿宋" w:hAnsi="仿宋" w:eastAsia="仿宋"/>
                <w:color w:val="auto"/>
                <w:kern w:val="2"/>
                <w:sz w:val="28"/>
                <w:szCs w:val="28"/>
                <w:lang w:val="en-US" w:eastAsia="zh-CN"/>
              </w:rPr>
            </w:pPr>
            <w:r>
              <w:rPr>
                <w:rFonts w:hint="eastAsia"/>
                <w:color w:val="auto"/>
                <w:kern w:val="2"/>
                <w:sz w:val="28"/>
                <w:szCs w:val="28"/>
                <w:lang w:val="en-US" w:eastAsia="zh-CN"/>
              </w:rPr>
              <w:t xml:space="preserve">                              （盖章）</w:t>
            </w:r>
          </w:p>
        </w:tc>
      </w:tr>
      <w:tr w14:paraId="27FF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0F2A20BC">
            <w:pPr>
              <w:jc w:val="center"/>
              <w:rPr>
                <w:rFonts w:ascii="仿宋" w:hAnsi="仿宋" w:eastAsia="仿宋"/>
                <w:color w:val="auto"/>
                <w:kern w:val="2"/>
                <w:sz w:val="28"/>
                <w:szCs w:val="28"/>
              </w:rPr>
            </w:pPr>
            <w:r>
              <w:rPr>
                <w:rFonts w:hint="eastAsia"/>
                <w:color w:val="auto"/>
                <w:kern w:val="2"/>
                <w:sz w:val="28"/>
                <w:szCs w:val="28"/>
                <w:lang w:val="en-US" w:eastAsia="zh-CN"/>
              </w:rPr>
              <w:t>*</w:t>
            </w:r>
            <w:r>
              <w:rPr>
                <w:rFonts w:hint="eastAsia" w:ascii="仿宋" w:hAnsi="仿宋" w:eastAsia="仿宋"/>
                <w:color w:val="auto"/>
                <w:kern w:val="2"/>
                <w:sz w:val="28"/>
                <w:szCs w:val="28"/>
              </w:rPr>
              <w:t>单位  / 个人地址</w:t>
            </w:r>
          </w:p>
        </w:tc>
        <w:tc>
          <w:tcPr>
            <w:tcW w:w="6042" w:type="dxa"/>
            <w:gridSpan w:val="3"/>
            <w:tcBorders>
              <w:top w:val="single" w:color="auto" w:sz="4" w:space="0"/>
              <w:left w:val="single" w:color="auto" w:sz="4" w:space="0"/>
              <w:bottom w:val="single" w:color="auto" w:sz="4" w:space="0"/>
              <w:right w:val="single" w:color="auto" w:sz="4" w:space="0"/>
            </w:tcBorders>
            <w:noWrap w:val="0"/>
            <w:vAlign w:val="top"/>
          </w:tcPr>
          <w:p w14:paraId="12FF0918">
            <w:pPr>
              <w:jc w:val="center"/>
              <w:rPr>
                <w:rFonts w:ascii="仿宋" w:hAnsi="仿宋" w:eastAsia="仿宋"/>
                <w:color w:val="auto"/>
                <w:kern w:val="2"/>
                <w:sz w:val="28"/>
                <w:szCs w:val="28"/>
              </w:rPr>
            </w:pPr>
          </w:p>
        </w:tc>
      </w:tr>
      <w:tr w14:paraId="74FA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2A8C20EF">
            <w:pPr>
              <w:jc w:val="center"/>
              <w:rPr>
                <w:rFonts w:hint="eastAsia" w:ascii="仿宋" w:hAnsi="仿宋" w:eastAsia="仿宋"/>
                <w:color w:val="auto"/>
                <w:kern w:val="2"/>
                <w:sz w:val="28"/>
                <w:szCs w:val="28"/>
                <w:lang w:eastAsia="zh-CN"/>
              </w:rPr>
            </w:pPr>
            <w:r>
              <w:rPr>
                <w:rFonts w:hint="eastAsia" w:ascii="仿宋" w:hAnsi="仿宋" w:eastAsia="仿宋"/>
                <w:color w:val="auto"/>
                <w:kern w:val="2"/>
                <w:sz w:val="28"/>
                <w:szCs w:val="28"/>
                <w:lang w:val="en-US" w:eastAsia="zh-CN"/>
              </w:rPr>
              <w:t xml:space="preserve">单位电话 </w:t>
            </w:r>
          </w:p>
        </w:tc>
        <w:tc>
          <w:tcPr>
            <w:tcW w:w="6042" w:type="dxa"/>
            <w:gridSpan w:val="3"/>
            <w:tcBorders>
              <w:top w:val="single" w:color="auto" w:sz="4" w:space="0"/>
              <w:left w:val="single" w:color="auto" w:sz="4" w:space="0"/>
              <w:bottom w:val="single" w:color="auto" w:sz="4" w:space="0"/>
              <w:right w:val="single" w:color="auto" w:sz="4" w:space="0"/>
            </w:tcBorders>
            <w:noWrap w:val="0"/>
            <w:vAlign w:val="top"/>
          </w:tcPr>
          <w:p w14:paraId="0857CFC7">
            <w:pPr>
              <w:rPr>
                <w:rFonts w:ascii="仿宋" w:hAnsi="仿宋" w:eastAsia="仿宋"/>
                <w:color w:val="auto"/>
                <w:kern w:val="2"/>
                <w:sz w:val="24"/>
                <w:szCs w:val="24"/>
              </w:rPr>
            </w:pPr>
          </w:p>
        </w:tc>
      </w:tr>
      <w:tr w14:paraId="31CB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186C4445">
            <w:pPr>
              <w:jc w:val="center"/>
              <w:rPr>
                <w:rFonts w:ascii="仿宋" w:hAnsi="仿宋" w:eastAsia="仿宋"/>
                <w:color w:val="auto"/>
                <w:kern w:val="2"/>
                <w:sz w:val="28"/>
                <w:szCs w:val="28"/>
              </w:rPr>
            </w:pPr>
            <w:r>
              <w:rPr>
                <w:rFonts w:hint="eastAsia"/>
                <w:color w:val="auto"/>
                <w:kern w:val="2"/>
                <w:sz w:val="28"/>
                <w:szCs w:val="28"/>
                <w:lang w:val="en-US" w:eastAsia="zh-CN"/>
              </w:rPr>
              <w:t>*</w:t>
            </w:r>
            <w:r>
              <w:rPr>
                <w:rFonts w:hint="eastAsia" w:ascii="仿宋" w:hAnsi="仿宋" w:eastAsia="仿宋"/>
                <w:color w:val="auto"/>
                <w:kern w:val="2"/>
                <w:sz w:val="28"/>
                <w:szCs w:val="28"/>
                <w:lang w:val="en-US" w:eastAsia="zh-CN"/>
              </w:rPr>
              <w:t>经办</w:t>
            </w:r>
            <w:r>
              <w:rPr>
                <w:rFonts w:hint="eastAsia" w:ascii="仿宋" w:hAnsi="仿宋" w:eastAsia="仿宋"/>
                <w:color w:val="auto"/>
                <w:kern w:val="2"/>
                <w:sz w:val="28"/>
                <w:szCs w:val="28"/>
              </w:rPr>
              <w:t>联系人</w:t>
            </w:r>
          </w:p>
        </w:tc>
        <w:tc>
          <w:tcPr>
            <w:tcW w:w="1990" w:type="dxa"/>
            <w:tcBorders>
              <w:top w:val="single" w:color="auto" w:sz="4" w:space="0"/>
              <w:left w:val="single" w:color="auto" w:sz="4" w:space="0"/>
              <w:bottom w:val="single" w:color="auto" w:sz="4" w:space="0"/>
              <w:right w:val="single" w:color="auto" w:sz="4" w:space="0"/>
            </w:tcBorders>
            <w:noWrap w:val="0"/>
            <w:vAlign w:val="top"/>
          </w:tcPr>
          <w:p w14:paraId="1A96C5A9">
            <w:pPr>
              <w:jc w:val="center"/>
              <w:rPr>
                <w:rFonts w:ascii="仿宋" w:hAnsi="仿宋" w:eastAsia="仿宋"/>
                <w:color w:val="auto"/>
                <w:kern w:val="2"/>
                <w:sz w:val="28"/>
                <w:szCs w:val="28"/>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05755E6C">
            <w:pPr>
              <w:jc w:val="center"/>
              <w:rPr>
                <w:rFonts w:ascii="仿宋" w:hAnsi="仿宋" w:eastAsia="仿宋"/>
                <w:color w:val="auto"/>
                <w:kern w:val="2"/>
                <w:sz w:val="28"/>
                <w:szCs w:val="28"/>
              </w:rPr>
            </w:pPr>
            <w:r>
              <w:rPr>
                <w:rFonts w:hint="eastAsia"/>
                <w:color w:val="auto"/>
                <w:kern w:val="2"/>
                <w:sz w:val="28"/>
                <w:szCs w:val="28"/>
                <w:lang w:val="en-US" w:eastAsia="zh-CN"/>
              </w:rPr>
              <w:t>*</w:t>
            </w:r>
            <w:r>
              <w:rPr>
                <w:rFonts w:hint="eastAsia" w:ascii="仿宋" w:hAnsi="仿宋" w:eastAsia="仿宋"/>
                <w:color w:val="auto"/>
                <w:kern w:val="2"/>
                <w:sz w:val="28"/>
                <w:szCs w:val="28"/>
              </w:rPr>
              <w:t>手 机</w:t>
            </w:r>
          </w:p>
        </w:tc>
        <w:tc>
          <w:tcPr>
            <w:tcW w:w="2605" w:type="dxa"/>
            <w:tcBorders>
              <w:top w:val="single" w:color="auto" w:sz="4" w:space="0"/>
              <w:left w:val="single" w:color="auto" w:sz="4" w:space="0"/>
              <w:bottom w:val="single" w:color="auto" w:sz="4" w:space="0"/>
              <w:right w:val="single" w:color="auto" w:sz="4" w:space="0"/>
            </w:tcBorders>
            <w:noWrap w:val="0"/>
            <w:vAlign w:val="top"/>
          </w:tcPr>
          <w:p w14:paraId="79394D50">
            <w:pPr>
              <w:jc w:val="center"/>
              <w:rPr>
                <w:rFonts w:ascii="仿宋" w:hAnsi="仿宋" w:eastAsia="仿宋"/>
                <w:color w:val="auto"/>
                <w:kern w:val="2"/>
                <w:sz w:val="28"/>
                <w:szCs w:val="28"/>
              </w:rPr>
            </w:pPr>
          </w:p>
        </w:tc>
      </w:tr>
      <w:tr w14:paraId="76A0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671671E4">
            <w:pPr>
              <w:jc w:val="center"/>
              <w:rPr>
                <w:rFonts w:ascii="仿宋" w:hAnsi="仿宋" w:eastAsia="仿宋"/>
                <w:color w:val="auto"/>
                <w:kern w:val="2"/>
                <w:sz w:val="28"/>
                <w:szCs w:val="28"/>
              </w:rPr>
            </w:pPr>
            <w:r>
              <w:rPr>
                <w:rFonts w:hint="eastAsia" w:ascii="仿宋" w:hAnsi="仿宋" w:eastAsia="仿宋"/>
                <w:color w:val="auto"/>
                <w:kern w:val="2"/>
                <w:sz w:val="28"/>
                <w:szCs w:val="28"/>
              </w:rPr>
              <w:t>邮     箱</w:t>
            </w:r>
          </w:p>
        </w:tc>
        <w:tc>
          <w:tcPr>
            <w:tcW w:w="6042" w:type="dxa"/>
            <w:gridSpan w:val="3"/>
            <w:tcBorders>
              <w:top w:val="single" w:color="auto" w:sz="4" w:space="0"/>
              <w:left w:val="single" w:color="auto" w:sz="4" w:space="0"/>
              <w:bottom w:val="single" w:color="auto" w:sz="4" w:space="0"/>
              <w:right w:val="single" w:color="auto" w:sz="4" w:space="0"/>
            </w:tcBorders>
            <w:noWrap w:val="0"/>
            <w:vAlign w:val="top"/>
          </w:tcPr>
          <w:p w14:paraId="7F62C4E7">
            <w:pPr>
              <w:jc w:val="center"/>
              <w:rPr>
                <w:rFonts w:ascii="仿宋" w:hAnsi="仿宋" w:eastAsia="仿宋"/>
                <w:color w:val="auto"/>
                <w:kern w:val="2"/>
                <w:sz w:val="28"/>
                <w:szCs w:val="28"/>
              </w:rPr>
            </w:pPr>
          </w:p>
        </w:tc>
      </w:tr>
      <w:tr w14:paraId="09D2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3437" w:type="dxa"/>
            <w:tcBorders>
              <w:top w:val="single" w:color="auto" w:sz="4" w:space="0"/>
              <w:left w:val="single" w:color="auto" w:sz="4" w:space="0"/>
              <w:bottom w:val="single" w:color="auto" w:sz="4" w:space="0"/>
              <w:right w:val="single" w:color="auto" w:sz="4" w:space="0"/>
            </w:tcBorders>
            <w:noWrap w:val="0"/>
            <w:vAlign w:val="center"/>
          </w:tcPr>
          <w:p w14:paraId="660B1C73">
            <w:pPr>
              <w:jc w:val="center"/>
              <w:rPr>
                <w:rFonts w:ascii="仿宋" w:hAnsi="仿宋" w:eastAsia="仿宋"/>
                <w:color w:val="auto"/>
                <w:kern w:val="2"/>
                <w:sz w:val="28"/>
                <w:szCs w:val="28"/>
              </w:rPr>
            </w:pPr>
            <w:r>
              <w:rPr>
                <w:rFonts w:hint="eastAsia" w:ascii="仿宋" w:hAnsi="仿宋" w:eastAsia="仿宋"/>
                <w:color w:val="auto"/>
                <w:kern w:val="2"/>
                <w:sz w:val="28"/>
                <w:szCs w:val="28"/>
              </w:rPr>
              <w:t>备     注</w:t>
            </w:r>
          </w:p>
        </w:tc>
        <w:tc>
          <w:tcPr>
            <w:tcW w:w="6042" w:type="dxa"/>
            <w:gridSpan w:val="3"/>
            <w:tcBorders>
              <w:top w:val="single" w:color="auto" w:sz="4" w:space="0"/>
              <w:left w:val="single" w:color="auto" w:sz="4" w:space="0"/>
              <w:bottom w:val="single" w:color="auto" w:sz="4" w:space="0"/>
              <w:right w:val="single" w:color="auto" w:sz="4" w:space="0"/>
            </w:tcBorders>
            <w:noWrap w:val="0"/>
            <w:vAlign w:val="top"/>
          </w:tcPr>
          <w:p w14:paraId="7EFE031A">
            <w:pPr>
              <w:rPr>
                <w:rFonts w:ascii="仿宋" w:hAnsi="仿宋" w:eastAsia="仿宋"/>
                <w:color w:val="auto"/>
                <w:kern w:val="2"/>
                <w:sz w:val="28"/>
                <w:szCs w:val="28"/>
              </w:rPr>
            </w:pPr>
          </w:p>
        </w:tc>
      </w:tr>
    </w:tbl>
    <w:p w14:paraId="28E9893F">
      <w:pPr>
        <w:jc w:val="both"/>
        <w:rPr>
          <w:rFonts w:ascii="Times New Roman"/>
          <w:color w:val="auto"/>
          <w:kern w:val="2"/>
          <w:sz w:val="21"/>
        </w:rPr>
      </w:pPr>
    </w:p>
    <w:p w14:paraId="6743D11D">
      <w:pPr>
        <w:spacing w:line="360" w:lineRule="auto"/>
        <w:rPr>
          <w:rFonts w:hint="default" w:ascii="仿宋" w:hAnsi="仿宋" w:eastAsia="仿宋" w:cs="Times New Roman"/>
          <w:color w:val="auto"/>
          <w:sz w:val="24"/>
          <w:szCs w:val="24"/>
          <w:lang w:val="en-US" w:eastAsia="zh-CN"/>
        </w:rPr>
      </w:pPr>
      <w:r>
        <w:rPr>
          <w:rFonts w:hint="eastAsia" w:ascii="仿宋" w:hAnsi="仿宋" w:eastAsia="仿宋" w:cs="Times New Roman"/>
          <w:color w:val="auto"/>
          <w:sz w:val="24"/>
          <w:szCs w:val="24"/>
        </w:rPr>
        <w:t xml:space="preserve">    </w:t>
      </w:r>
      <w:r>
        <w:rPr>
          <w:rFonts w:hint="eastAsia" w:ascii="仿宋" w:hAnsi="仿宋" w:eastAsia="仿宋" w:cs="Times New Roman"/>
          <w:color w:val="auto"/>
          <w:sz w:val="24"/>
          <w:szCs w:val="24"/>
          <w:lang w:eastAsia="zh-CN"/>
        </w:rPr>
        <w:t>采购单位联系人：</w:t>
      </w:r>
      <w:r>
        <w:rPr>
          <w:rFonts w:hint="eastAsia" w:ascii="仿宋" w:hAnsi="仿宋" w:eastAsia="仿宋" w:cs="Times New Roman"/>
          <w:color w:val="auto"/>
          <w:sz w:val="24"/>
          <w:szCs w:val="24"/>
          <w:lang w:val="en-US" w:eastAsia="zh-CN"/>
        </w:rPr>
        <w:t>潘老师、周</w:t>
      </w:r>
      <w:r>
        <w:rPr>
          <w:rFonts w:hint="eastAsia" w:ascii="仿宋" w:hAnsi="仿宋" w:eastAsia="仿宋" w:cs="Times New Roman"/>
          <w:color w:val="auto"/>
          <w:sz w:val="24"/>
          <w:szCs w:val="24"/>
          <w:lang w:eastAsia="zh-CN"/>
        </w:rPr>
        <w:t>老师</w:t>
      </w:r>
      <w:r>
        <w:rPr>
          <w:rFonts w:hint="eastAsia" w:ascii="仿宋" w:hAnsi="仿宋" w:eastAsia="仿宋" w:cs="Times New Roman"/>
          <w:color w:val="auto"/>
          <w:sz w:val="24"/>
          <w:szCs w:val="24"/>
          <w:lang w:val="en-US" w:eastAsia="zh-CN"/>
        </w:rPr>
        <w:t xml:space="preserve"> 028-82526150</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lang w:val="en-US" w:eastAsia="zh-CN"/>
        </w:rPr>
        <w:t>邮箱845865477@qq.com</w:t>
      </w:r>
    </w:p>
    <w:p w14:paraId="3E4B405A">
      <w:pPr>
        <w:spacing w:line="360" w:lineRule="auto"/>
        <w:rPr>
          <w:rFonts w:hint="eastAsia" w:ascii="仿宋" w:hAnsi="仿宋" w:eastAsia="仿宋" w:cs="Times New Roman"/>
          <w:color w:val="auto"/>
          <w:sz w:val="24"/>
          <w:szCs w:val="24"/>
          <w:highlight w:val="none"/>
          <w:lang w:val="en-US" w:eastAsia="zh-CN"/>
        </w:rPr>
      </w:pPr>
      <w:r>
        <w:rPr>
          <w:rFonts w:hint="eastAsia" w:ascii="仿宋" w:hAnsi="仿宋" w:eastAsia="仿宋" w:cs="Times New Roman"/>
          <w:color w:val="auto"/>
          <w:sz w:val="24"/>
          <w:szCs w:val="24"/>
          <w:lang w:val="en-US" w:eastAsia="zh-CN"/>
        </w:rPr>
        <w:t>注:提供（1）报名登记表扫描件（2）投标单位营业执照正、副本复印件（3）经办人身份证复印件（以上三条均需加盖供应商公章，提供扫描至以上邮箱）（4）</w:t>
      </w:r>
      <w:r>
        <w:rPr>
          <w:rFonts w:hint="eastAsia" w:ascii="仿宋" w:hAnsi="仿宋" w:eastAsia="仿宋" w:cs="Times New Roman"/>
          <w:color w:val="auto"/>
          <w:sz w:val="24"/>
          <w:szCs w:val="24"/>
          <w:highlight w:val="none"/>
          <w:lang w:val="en-US" w:eastAsia="zh-CN"/>
        </w:rPr>
        <w:t>递交响应文件时，把以上3项资料盖章资料一并递交，此3项资料无需密封。</w:t>
      </w:r>
    </w:p>
    <w:p w14:paraId="25C40584">
      <w:pPr>
        <w:spacing w:line="360" w:lineRule="auto"/>
        <w:rPr>
          <w:color w:val="auto"/>
        </w:rPr>
      </w:pPr>
      <w:r>
        <w:rPr>
          <w:rFonts w:hint="eastAsia" w:ascii="仿宋" w:hAnsi="仿宋" w:eastAsia="仿宋" w:cs="Times New Roman"/>
          <w:color w:val="auto"/>
          <w:sz w:val="24"/>
          <w:szCs w:val="24"/>
          <w:lang w:eastAsia="zh-CN"/>
        </w:rPr>
        <w:t>投标单位购买招标文件时请如实认真填写报名登记表和投标人信息；若因投标单位提供的错误或不实信息，对其投标事宜造成影响的，由其投标单位自行承担所有责任。</w:t>
      </w:r>
    </w:p>
    <w:sectPr>
      <w:footerReference r:id="rId3" w:type="default"/>
      <w:pgSz w:w="11906" w:h="16838"/>
      <w:pgMar w:top="1587" w:right="1587" w:bottom="158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CE67DD-42AA-426D-9D2F-811EE132865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E330776-B9DC-4AB5-A669-1A46CD50ABA1}"/>
  </w:font>
  <w:font w:name="Calibri Light">
    <w:panose1 w:val="020F0302020204030204"/>
    <w:charset w:val="00"/>
    <w:family w:val="auto"/>
    <w:pitch w:val="default"/>
    <w:sig w:usb0="E4002EFF" w:usb1="C000247B" w:usb2="00000009" w:usb3="00000000" w:csb0="200001FF" w:csb1="00000000"/>
  </w:font>
  <w:font w:name=".......">
    <w:altName w:val="宋体"/>
    <w:panose1 w:val="00000000000000000000"/>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3" w:fontKey="{D16A2E93-2893-4DC9-AE4F-5D71CBF9C358}"/>
  </w:font>
  <w:font w:name="方正小标宋简体">
    <w:panose1 w:val="02000000000000000000"/>
    <w:charset w:val="86"/>
    <w:family w:val="script"/>
    <w:pitch w:val="default"/>
    <w:sig w:usb0="00000001" w:usb1="08000000" w:usb2="00000000" w:usb3="00000000" w:csb0="00040000" w:csb1="00000000"/>
    <w:embedRegular r:id="rId4" w:fontKey="{0B6DAA01-25D2-4160-95E3-1A876359B6C9}"/>
  </w:font>
  <w:font w:name="仿宋_GB2312">
    <w:altName w:val="仿宋"/>
    <w:panose1 w:val="02010609030101010101"/>
    <w:charset w:val="86"/>
    <w:family w:val="modern"/>
    <w:pitch w:val="default"/>
    <w:sig w:usb0="00000000" w:usb1="00000000" w:usb2="00000000" w:usb3="00000000" w:csb0="00040000" w:csb1="00000000"/>
    <w:embedRegular r:id="rId5" w:fontKey="{05CAE6DA-4C77-4C71-B917-DC9EBB482546}"/>
  </w:font>
  <w:font w:name="华文中宋">
    <w:panose1 w:val="02010600040101010101"/>
    <w:charset w:val="86"/>
    <w:family w:val="auto"/>
    <w:pitch w:val="default"/>
    <w:sig w:usb0="00000287" w:usb1="080F0000" w:usb2="00000000" w:usb3="00000000" w:csb0="0004009F" w:csb1="DFD70000"/>
    <w:embedRegular r:id="rId6" w:fontKey="{00903EC4-E42F-48D9-9196-C13A581512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2EC3C">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019865">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F019865">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7E4A69"/>
    <w:multiLevelType w:val="singleLevel"/>
    <w:tmpl w:val="A17E4A69"/>
    <w:lvl w:ilvl="0" w:tentative="0">
      <w:start w:val="2"/>
      <w:numFmt w:val="decimal"/>
      <w:suff w:val="nothing"/>
      <w:lvlText w:val="%1、"/>
      <w:lvlJc w:val="left"/>
    </w:lvl>
  </w:abstractNum>
  <w:abstractNum w:abstractNumId="1">
    <w:nsid w:val="B04D8E0A"/>
    <w:multiLevelType w:val="multilevel"/>
    <w:tmpl w:val="B04D8E0A"/>
    <w:lvl w:ilvl="0" w:tentative="0">
      <w:start w:val="1"/>
      <w:numFmt w:val="chineseCounting"/>
      <w:suff w:val="nothing"/>
      <w:lvlText w:val="第%1章 "/>
      <w:lvlJc w:val="left"/>
      <w:pPr>
        <w:tabs>
          <w:tab w:val="left" w:pos="0"/>
        </w:tabs>
        <w:ind w:left="0" w:firstLine="0"/>
      </w:pPr>
      <w:rPr>
        <w:rFonts w:hint="eastAsia" w:ascii="宋体" w:hAnsi="宋体" w:eastAsia="宋体" w:cs="宋体"/>
      </w:rPr>
    </w:lvl>
    <w:lvl w:ilvl="1" w:tentative="0">
      <w:start w:val="1"/>
      <w:numFmt w:val="chineseCounting"/>
      <w:suff w:val="nothing"/>
      <w:lvlText w:val="%2、"/>
      <w:lvlJc w:val="left"/>
      <w:pPr>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0" w:firstLine="0"/>
      </w:pPr>
      <w:rPr>
        <w:rFonts w:hint="eastAsia" w:ascii="宋体" w:hAnsi="宋体" w:eastAsia="宋体" w:cs="宋体"/>
      </w:rPr>
    </w:lvl>
    <w:lvl w:ilvl="3" w:tentative="0">
      <w:start w:val="1"/>
      <w:numFmt w:val="decimal"/>
      <w:pStyle w:val="25"/>
      <w:suff w:val="nothing"/>
      <w:lvlText w:val="%4."/>
      <w:lvlJc w:val="left"/>
      <w:pPr>
        <w:tabs>
          <w:tab w:val="left" w:pos="709"/>
        </w:tabs>
        <w:ind w:left="709" w:firstLine="0"/>
      </w:pPr>
      <w:rPr>
        <w:rFonts w:hint="eastAsia" w:ascii="宋体" w:hAnsi="宋体" w:eastAsia="宋体" w:cs="宋体"/>
      </w:rPr>
    </w:lvl>
    <w:lvl w:ilvl="4" w:tentative="0">
      <w:start w:val="1"/>
      <w:numFmt w:val="decimal"/>
      <w:suff w:val="nothing"/>
      <w:lvlText w:val="%4.%5"/>
      <w:lvlJc w:val="left"/>
      <w:pPr>
        <w:ind w:left="0" w:firstLine="0"/>
      </w:pPr>
      <w:rPr>
        <w:rFonts w:hint="eastAsia" w:ascii="宋体" w:hAnsi="宋体" w:eastAsia="宋体" w:cs="宋体"/>
      </w:rPr>
    </w:lvl>
    <w:lvl w:ilvl="5" w:tentative="0">
      <w:start w:val="1"/>
      <w:numFmt w:val="decimal"/>
      <w:suff w:val="nothing"/>
      <w:lvlText w:val="(%6)"/>
      <w:lvlJc w:val="left"/>
      <w:pPr>
        <w:ind w:left="0" w:firstLine="0"/>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D4BF8D19"/>
    <w:multiLevelType w:val="singleLevel"/>
    <w:tmpl w:val="D4BF8D19"/>
    <w:lvl w:ilvl="0" w:tentative="0">
      <w:start w:val="1"/>
      <w:numFmt w:val="decimal"/>
      <w:suff w:val="nothing"/>
      <w:lvlText w:val="%1、"/>
      <w:lvlJc w:val="left"/>
    </w:lvl>
  </w:abstractNum>
  <w:abstractNum w:abstractNumId="3">
    <w:nsid w:val="E56B2D59"/>
    <w:multiLevelType w:val="singleLevel"/>
    <w:tmpl w:val="E56B2D59"/>
    <w:lvl w:ilvl="0" w:tentative="0">
      <w:start w:val="1"/>
      <w:numFmt w:val="chineseCounting"/>
      <w:suff w:val="nothing"/>
      <w:lvlText w:val="%1、"/>
      <w:lvlJc w:val="left"/>
      <w:rPr>
        <w:rFonts w:hint="eastAsia"/>
      </w:rPr>
    </w:lvl>
  </w:abstractNum>
  <w:abstractNum w:abstractNumId="4">
    <w:nsid w:val="5A14B299"/>
    <w:multiLevelType w:val="singleLevel"/>
    <w:tmpl w:val="5A14B299"/>
    <w:lvl w:ilvl="0" w:tentative="0">
      <w:start w:val="2"/>
      <w:numFmt w:val="chineseCounting"/>
      <w:suff w:val="nothing"/>
      <w:lvlText w:val="%1、"/>
      <w:lvlJc w:val="left"/>
      <w:rPr>
        <w:rFonts w:hint="eastAsia"/>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F6C6F"/>
    <w:rsid w:val="009738DD"/>
    <w:rsid w:val="012A2403"/>
    <w:rsid w:val="03147D24"/>
    <w:rsid w:val="04E86B91"/>
    <w:rsid w:val="056401E1"/>
    <w:rsid w:val="05B77E21"/>
    <w:rsid w:val="06140401"/>
    <w:rsid w:val="07005B3B"/>
    <w:rsid w:val="08A45E49"/>
    <w:rsid w:val="097B39EB"/>
    <w:rsid w:val="09E700B5"/>
    <w:rsid w:val="0A9B3267"/>
    <w:rsid w:val="0B5D63F7"/>
    <w:rsid w:val="0CD85E9D"/>
    <w:rsid w:val="0DEA754E"/>
    <w:rsid w:val="106B770F"/>
    <w:rsid w:val="10B14879"/>
    <w:rsid w:val="11213D01"/>
    <w:rsid w:val="11A5014C"/>
    <w:rsid w:val="12042B30"/>
    <w:rsid w:val="126F67ED"/>
    <w:rsid w:val="140C5B60"/>
    <w:rsid w:val="14382F65"/>
    <w:rsid w:val="14574547"/>
    <w:rsid w:val="14C25B10"/>
    <w:rsid w:val="14F95BEF"/>
    <w:rsid w:val="18B340A6"/>
    <w:rsid w:val="190653E0"/>
    <w:rsid w:val="1930504A"/>
    <w:rsid w:val="19842E1A"/>
    <w:rsid w:val="1A0E09F0"/>
    <w:rsid w:val="1A310B82"/>
    <w:rsid w:val="1A383CBF"/>
    <w:rsid w:val="1B7C3AD4"/>
    <w:rsid w:val="1BD75F80"/>
    <w:rsid w:val="1C3F50B7"/>
    <w:rsid w:val="1D610ED9"/>
    <w:rsid w:val="1ED55F80"/>
    <w:rsid w:val="1EEB62DA"/>
    <w:rsid w:val="206C49FE"/>
    <w:rsid w:val="216B5041"/>
    <w:rsid w:val="21916573"/>
    <w:rsid w:val="24036A14"/>
    <w:rsid w:val="259A0116"/>
    <w:rsid w:val="2A1F4553"/>
    <w:rsid w:val="2A4C77FE"/>
    <w:rsid w:val="2BBE3953"/>
    <w:rsid w:val="2C414E70"/>
    <w:rsid w:val="2C4A4172"/>
    <w:rsid w:val="2C731FE5"/>
    <w:rsid w:val="2DCE7F27"/>
    <w:rsid w:val="31D8451F"/>
    <w:rsid w:val="32DF1FDC"/>
    <w:rsid w:val="32FA3DAF"/>
    <w:rsid w:val="341449FD"/>
    <w:rsid w:val="346408E5"/>
    <w:rsid w:val="36A24542"/>
    <w:rsid w:val="3C94492D"/>
    <w:rsid w:val="3CE235AE"/>
    <w:rsid w:val="3E9055C8"/>
    <w:rsid w:val="40980764"/>
    <w:rsid w:val="409D1C34"/>
    <w:rsid w:val="417814E9"/>
    <w:rsid w:val="41C75D8A"/>
    <w:rsid w:val="420175C2"/>
    <w:rsid w:val="440B7D6A"/>
    <w:rsid w:val="468E0480"/>
    <w:rsid w:val="47A3117B"/>
    <w:rsid w:val="47AE4398"/>
    <w:rsid w:val="47B642F1"/>
    <w:rsid w:val="4A0855A2"/>
    <w:rsid w:val="4BD034A7"/>
    <w:rsid w:val="4D671A28"/>
    <w:rsid w:val="4F2627F5"/>
    <w:rsid w:val="4FC9093A"/>
    <w:rsid w:val="4FEB03EE"/>
    <w:rsid w:val="50992D05"/>
    <w:rsid w:val="529102F8"/>
    <w:rsid w:val="530C0109"/>
    <w:rsid w:val="533F3632"/>
    <w:rsid w:val="53857839"/>
    <w:rsid w:val="53C84569"/>
    <w:rsid w:val="548B440F"/>
    <w:rsid w:val="54A35606"/>
    <w:rsid w:val="54DE6EBF"/>
    <w:rsid w:val="552C4C9E"/>
    <w:rsid w:val="56E26048"/>
    <w:rsid w:val="59320EE4"/>
    <w:rsid w:val="594D4AA0"/>
    <w:rsid w:val="59CC4666"/>
    <w:rsid w:val="60E70C20"/>
    <w:rsid w:val="63D25003"/>
    <w:rsid w:val="64825129"/>
    <w:rsid w:val="64C86FBA"/>
    <w:rsid w:val="66D82E85"/>
    <w:rsid w:val="679C6C08"/>
    <w:rsid w:val="68796990"/>
    <w:rsid w:val="68C64B6A"/>
    <w:rsid w:val="69245774"/>
    <w:rsid w:val="692F0EEA"/>
    <w:rsid w:val="69FA5E67"/>
    <w:rsid w:val="6A2C3362"/>
    <w:rsid w:val="6A961D0C"/>
    <w:rsid w:val="6B171FE9"/>
    <w:rsid w:val="6C792A1B"/>
    <w:rsid w:val="6D8871EF"/>
    <w:rsid w:val="6D9B3ACA"/>
    <w:rsid w:val="6E493DC7"/>
    <w:rsid w:val="717645B6"/>
    <w:rsid w:val="71856EF9"/>
    <w:rsid w:val="72EA3CE1"/>
    <w:rsid w:val="738A3634"/>
    <w:rsid w:val="74923C14"/>
    <w:rsid w:val="74C05C36"/>
    <w:rsid w:val="75475CD9"/>
    <w:rsid w:val="761E6201"/>
    <w:rsid w:val="779A47E6"/>
    <w:rsid w:val="77F95079"/>
    <w:rsid w:val="786F7A21"/>
    <w:rsid w:val="78CF6711"/>
    <w:rsid w:val="7A5358BD"/>
    <w:rsid w:val="7AEA1B74"/>
    <w:rsid w:val="7B1B5C3E"/>
    <w:rsid w:val="7C2330CA"/>
    <w:rsid w:val="7C4F2792"/>
    <w:rsid w:val="7C5739AD"/>
    <w:rsid w:val="7EDE3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b/>
      <w:bCs/>
      <w:kern w:val="44"/>
      <w:sz w:val="44"/>
      <w:szCs w:val="44"/>
    </w:rPr>
  </w:style>
  <w:style w:type="paragraph" w:styleId="3">
    <w:name w:val="heading 2"/>
    <w:basedOn w:val="1"/>
    <w:next w:val="1"/>
    <w:semiHidden/>
    <w:unhideWhenUsed/>
    <w:qFormat/>
    <w:uiPriority w:val="9"/>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4">
    <w:name w:val="index 8"/>
    <w:basedOn w:val="1"/>
    <w:next w:val="1"/>
    <w:semiHidden/>
    <w:qFormat/>
    <w:uiPriority w:val="99"/>
    <w:pPr>
      <w:ind w:left="2940"/>
    </w:pPr>
  </w:style>
  <w:style w:type="paragraph" w:styleId="5">
    <w:name w:val="Normal Indent"/>
    <w:basedOn w:val="1"/>
    <w:next w:val="1"/>
    <w:qFormat/>
    <w:uiPriority w:val="0"/>
    <w:pPr>
      <w:ind w:firstLine="420" w:firstLineChars="200"/>
    </w:pPr>
  </w:style>
  <w:style w:type="paragraph" w:styleId="6">
    <w:name w:val="Body Text 3"/>
    <w:basedOn w:val="1"/>
    <w:unhideWhenUsed/>
    <w:qFormat/>
    <w:uiPriority w:val="99"/>
    <w:pPr>
      <w:jc w:val="center"/>
    </w:pPr>
    <w:rPr>
      <w:rFonts w:hint="eastAsia" w:hAnsi="Symbol"/>
      <w:sz w:val="10"/>
      <w:szCs w:val="24"/>
    </w:rPr>
  </w:style>
  <w:style w:type="paragraph" w:styleId="7">
    <w:name w:val="Body Text"/>
    <w:basedOn w:val="1"/>
    <w:next w:val="8"/>
    <w:qFormat/>
    <w:uiPriority w:val="99"/>
    <w:pPr>
      <w:spacing w:after="120"/>
    </w:pPr>
    <w:rPr>
      <w:rFonts w:ascii="宋体" w:hAnsi="Times New Roman"/>
      <w:kern w:val="0"/>
      <w:sz w:val="34"/>
      <w:szCs w:val="20"/>
    </w:rPr>
  </w:style>
  <w:style w:type="paragraph" w:styleId="8">
    <w:name w:val="Date"/>
    <w:basedOn w:val="1"/>
    <w:next w:val="1"/>
    <w:qFormat/>
    <w:uiPriority w:val="0"/>
    <w:rPr>
      <w:rFonts w:eastAsia="黑体"/>
      <w:sz w:val="36"/>
    </w:rPr>
  </w:style>
  <w:style w:type="paragraph" w:styleId="9">
    <w:name w:val="Body Text Indent"/>
    <w:basedOn w:val="1"/>
    <w:qFormat/>
    <w:uiPriority w:val="0"/>
    <w:pPr>
      <w:spacing w:line="500" w:lineRule="exact"/>
      <w:ind w:left="832" w:leftChars="832" w:firstLine="433" w:firstLineChars="196"/>
    </w:pPr>
    <w:rPr>
      <w:sz w:val="24"/>
    </w:rPr>
  </w:style>
  <w:style w:type="paragraph" w:styleId="10">
    <w:name w:val="Plain Text"/>
    <w:basedOn w:val="1"/>
    <w:unhideWhenUsed/>
    <w:qFormat/>
    <w:uiPriority w:val="99"/>
    <w:pPr>
      <w:widowControl w:val="0"/>
      <w:autoSpaceDE w:val="0"/>
      <w:autoSpaceDN w:val="0"/>
      <w:adjustRightInd w:val="0"/>
      <w:jc w:val="both"/>
    </w:pPr>
    <w:rPr>
      <w:rFonts w:hAnsi="Courier New"/>
      <w:sz w:val="20"/>
      <w:szCs w:val="21"/>
    </w:rPr>
  </w:style>
  <w:style w:type="paragraph" w:styleId="11">
    <w:name w:val="Body Text Indent 2"/>
    <w:basedOn w:val="1"/>
    <w:next w:val="12"/>
    <w:qFormat/>
    <w:uiPriority w:val="0"/>
    <w:pPr>
      <w:spacing w:after="120" w:line="480" w:lineRule="auto"/>
      <w:ind w:left="420" w:leftChars="200"/>
    </w:pPr>
    <w:rPr>
      <w:rFonts w:ascii="Calibri" w:hAnsi="Calibri" w:eastAsia="宋体" w:cs="Times New Roman"/>
      <w:szCs w:val="22"/>
    </w:rPr>
  </w:style>
  <w:style w:type="paragraph" w:customStyle="1" w:styleId="12">
    <w:name w:val="样式"/>
    <w:basedOn w:val="1"/>
    <w:qFormat/>
    <w:uiPriority w:val="0"/>
    <w:pPr>
      <w:autoSpaceDE w:val="0"/>
      <w:autoSpaceDN w:val="0"/>
      <w:adjustRightInd w:val="0"/>
      <w:jc w:val="left"/>
    </w:pPr>
    <w:rPr>
      <w:rFonts w:hint="eastAsia" w:ascii="宋体" w:hAnsi="宋体" w:eastAsia="宋体" w:cs="Times New Roman"/>
      <w:kern w:val="0"/>
      <w:sz w:val="24"/>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6">
    <w:name w:val="Body Text First Indent"/>
    <w:basedOn w:val="7"/>
    <w:next w:val="1"/>
    <w:qFormat/>
    <w:uiPriority w:val="0"/>
    <w:pPr>
      <w:widowControl w:val="0"/>
      <w:spacing w:after="120" w:afterLines="0" w:line="240" w:lineRule="auto"/>
      <w:ind w:firstLine="420" w:firstLineChars="100"/>
    </w:pPr>
  </w:style>
  <w:style w:type="paragraph" w:styleId="17">
    <w:name w:val="Body Text First Indent 2"/>
    <w:basedOn w:val="9"/>
    <w:qFormat/>
    <w:uiPriority w:val="0"/>
    <w:pPr>
      <w:spacing w:after="120" w:line="240" w:lineRule="auto"/>
      <w:ind w:left="420" w:leftChars="200" w:firstLine="420"/>
    </w:pPr>
    <w:rPr>
      <w:sz w:val="21"/>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paragraph" w:customStyle="1" w:styleId="22">
    <w:name w:val="正文1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23">
    <w:name w:val="List Paragraph"/>
    <w:basedOn w:val="1"/>
    <w:qFormat/>
    <w:uiPriority w:val="34"/>
    <w:pPr>
      <w:ind w:firstLine="420" w:firstLineChars="200"/>
    </w:pPr>
    <w:rPr>
      <w:rFonts w:ascii="Times New Roman"/>
      <w:szCs w:val="22"/>
    </w:rPr>
  </w:style>
  <w:style w:type="paragraph" w:customStyle="1" w:styleId="24">
    <w:name w:val="02、首行缩进2字符正文"/>
    <w:basedOn w:val="1"/>
    <w:qFormat/>
    <w:uiPriority w:val="0"/>
    <w:pPr>
      <w:tabs>
        <w:tab w:val="left" w:pos="0"/>
      </w:tabs>
      <w:wordWrap w:val="0"/>
      <w:topLinePunct/>
      <w:ind w:firstLine="480" w:firstLineChars="200"/>
    </w:pPr>
  </w:style>
  <w:style w:type="paragraph" w:customStyle="1" w:styleId="25">
    <w:name w:val="17“1.”四级标题"/>
    <w:basedOn w:val="24"/>
    <w:qFormat/>
    <w:uiPriority w:val="0"/>
    <w:pPr>
      <w:numPr>
        <w:ilvl w:val="3"/>
        <w:numId w:val="1"/>
      </w:numPr>
      <w:ind w:firstLine="803"/>
    </w:pPr>
  </w:style>
  <w:style w:type="paragraph" w:customStyle="1" w:styleId="26">
    <w:name w:val="Table Text"/>
    <w:basedOn w:val="1"/>
    <w:semiHidden/>
    <w:qFormat/>
    <w:uiPriority w:val="0"/>
    <w:rPr>
      <w:rFonts w:ascii="宋体" w:hAnsi="宋体" w:eastAsia="宋体" w:cs="宋体"/>
      <w:sz w:val="24"/>
      <w:szCs w:val="24"/>
      <w:lang w:val="en-US" w:eastAsia="en-US" w:bidi="ar-SA"/>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Default"/>
    <w:next w:val="11"/>
    <w:qFormat/>
    <w:uiPriority w:val="0"/>
    <w:pPr>
      <w:widowControl w:val="0"/>
      <w:autoSpaceDE w:val="0"/>
      <w:autoSpaceDN w:val="0"/>
      <w:adjustRightInd w:val="0"/>
    </w:pPr>
    <w:rPr>
      <w:rFonts w:ascii="......." w:hAnsi="......." w:eastAsia="......." w:cs="......."/>
      <w:color w:val="000000"/>
      <w:sz w:val="24"/>
      <w:szCs w:val="24"/>
      <w:lang w:val="en-US" w:eastAsia="zh-CN" w:bidi="ar-SA"/>
    </w:rPr>
  </w:style>
  <w:style w:type="character" w:customStyle="1" w:styleId="29">
    <w:name w:val="font11"/>
    <w:basedOn w:val="20"/>
    <w:qFormat/>
    <w:uiPriority w:val="0"/>
    <w:rPr>
      <w:rFonts w:hint="eastAsia" w:ascii="仿宋" w:hAnsi="仿宋" w:eastAsia="仿宋" w:cs="仿宋"/>
      <w:b/>
      <w:bCs/>
      <w:color w:val="000000"/>
      <w:sz w:val="24"/>
      <w:szCs w:val="24"/>
      <w:u w:val="none"/>
    </w:rPr>
  </w:style>
  <w:style w:type="character" w:customStyle="1" w:styleId="30">
    <w:name w:val="font31"/>
    <w:basedOn w:val="20"/>
    <w:qFormat/>
    <w:uiPriority w:val="0"/>
    <w:rPr>
      <w:rFonts w:ascii="Arial" w:hAnsi="Arial" w:cs="Arial"/>
      <w:b/>
      <w:bCs/>
      <w:color w:val="000000"/>
      <w:sz w:val="24"/>
      <w:szCs w:val="24"/>
      <w:u w:val="none"/>
    </w:rPr>
  </w:style>
  <w:style w:type="character" w:customStyle="1" w:styleId="31">
    <w:name w:val="font71"/>
    <w:basedOn w:val="20"/>
    <w:qFormat/>
    <w:uiPriority w:val="0"/>
    <w:rPr>
      <w:rFonts w:hint="default" w:ascii="Times New Roman" w:hAnsi="Times New Roman" w:cs="Times New Roman"/>
      <w:color w:val="000000"/>
      <w:sz w:val="28"/>
      <w:szCs w:val="28"/>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6609</Words>
  <Characters>8361</Characters>
  <Lines>0</Lines>
  <Paragraphs>0</Paragraphs>
  <TotalTime>1</TotalTime>
  <ScaleCrop>false</ScaleCrop>
  <LinksUpToDate>false</LinksUpToDate>
  <CharactersWithSpaces>8573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ASUS</cp:lastModifiedBy>
  <cp:lastPrinted>2026-10-08T03:33:00Z</cp:lastPrinted>
  <dcterms:modified xsi:type="dcterms:W3CDTF">2026-10-08T07:18:58Z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eyJoZGlkIjoiNDE1ZTFlMjFjZDEzODY3NmE0ZDIwNjM3NWU4ZDkyNWQiLCJ1c2VySWQiOiIzMzA3NDM0MzYifQ==</vt:lpwstr>
  </property>
  <property fmtid="{D5CDD505-2E9C-101B-9397-08002B2CF9AE}" pid="4" name="ICV">
    <vt:lpwstr>5560D471CC5A4079A9E1CBA1AC3A64D8_13</vt:lpwstr>
  </property>
</Properties>
</file>