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F874">
      <w:pPr>
        <w:pStyle w:val="6"/>
        <w:jc w:val="center"/>
        <w:rPr>
          <w:rFonts w:hint="default" w:ascii="方正小标宋简体" w:hAnsi="方正小标宋简体" w:eastAsia="宋体" w:cs="方正小标宋简体"/>
          <w:bCs/>
          <w:color w:val="auto"/>
          <w:sz w:val="44"/>
          <w:szCs w:val="44"/>
          <w:lang w:val="en-US" w:eastAsia="zh-CN"/>
        </w:rPr>
      </w:pPr>
      <w:r>
        <w:rPr>
          <w:rFonts w:hint="eastAsia"/>
          <w:highlight w:val="none"/>
        </w:rPr>
        <w:t>成都市新津区中医医院安防系统运维服务</w:t>
      </w:r>
      <w:r>
        <w:rPr>
          <w:rFonts w:hint="eastAsia"/>
          <w:highlight w:val="none"/>
          <w:lang w:val="en-US" w:eastAsia="zh-CN"/>
        </w:rPr>
        <w:t>采购项目</w:t>
      </w:r>
      <w:r>
        <w:rPr>
          <w:rFonts w:hint="eastAsia"/>
          <w:highlight w:val="none"/>
        </w:rPr>
        <w:t>询预算价</w:t>
      </w:r>
      <w:r>
        <w:rPr>
          <w:highlight w:val="none"/>
        </w:rPr>
        <w:t>公</w:t>
      </w:r>
      <w:r>
        <w:t>示</w:t>
      </w:r>
    </w:p>
    <w:p w14:paraId="3D73D342">
      <w:pPr>
        <w:spacing w:line="700" w:lineRule="exact"/>
        <w:jc w:val="both"/>
        <w:rPr>
          <w:rFonts w:hint="eastAsia" w:ascii="方正小标宋简体" w:hAnsi="方正小标宋简体" w:eastAsia="方正小标宋简体" w:cs="方正小标宋简体"/>
          <w:bCs/>
          <w:color w:val="auto"/>
          <w:sz w:val="44"/>
          <w:szCs w:val="44"/>
          <w:lang w:val="en-US" w:eastAsia="zh-CN"/>
        </w:rPr>
      </w:pPr>
    </w:p>
    <w:p w14:paraId="5EAD4A9D">
      <w:pPr>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各潜在供应商：</w:t>
      </w:r>
    </w:p>
    <w:p w14:paraId="3D58EF04">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根据医院业务需要，我院拟采购安防系统运维服务项目。现将具体采购需求公告如下，各潜在供应商如有意向参与，请主动与我院联系，并在公示期内提供以下资料，以便初步甄选。</w:t>
      </w:r>
    </w:p>
    <w:p w14:paraId="640C3185">
      <w:pPr>
        <w:numPr>
          <w:ilvl w:val="0"/>
          <w:numId w:val="2"/>
        </w:numPr>
        <w:spacing w:line="560" w:lineRule="exact"/>
        <w:rPr>
          <w:rFonts w:hint="eastAsia" w:ascii="仿宋" w:hAnsi="仿宋" w:eastAsia="仿宋" w:cs="仿宋"/>
          <w:b/>
          <w:bCs/>
          <w:color w:val="auto"/>
          <w:sz w:val="32"/>
          <w:szCs w:val="32"/>
        </w:rPr>
      </w:pPr>
      <w:r>
        <w:rPr>
          <w:rFonts w:hint="eastAsia" w:ascii="宋体" w:hAnsi="宋体" w:eastAsia="宋体" w:cs="宋体"/>
          <w:b/>
          <w:bCs/>
          <w:color w:val="auto"/>
          <w:sz w:val="24"/>
          <w:szCs w:val="24"/>
          <w:highlight w:val="none"/>
        </w:rPr>
        <w:t>★</w:t>
      </w:r>
      <w:r>
        <w:rPr>
          <w:rFonts w:hint="eastAsia" w:ascii="仿宋" w:hAnsi="仿宋" w:eastAsia="仿宋" w:cs="仿宋"/>
          <w:b/>
          <w:bCs/>
          <w:color w:val="auto"/>
          <w:sz w:val="32"/>
          <w:szCs w:val="32"/>
        </w:rPr>
        <w:t>公司情况介绍：</w:t>
      </w:r>
    </w:p>
    <w:p w14:paraId="1550F1B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1、公司相关业务情况、业绩简介。</w:t>
      </w:r>
    </w:p>
    <w:p w14:paraId="017BA2A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2、公司营业执照复印件；公司法人身份证复印件，或授权委托书及授权委托人身份证复印件。</w:t>
      </w:r>
    </w:p>
    <w:p w14:paraId="6E20272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报名要求：</w:t>
      </w:r>
    </w:p>
    <w:p w14:paraId="09EF76AE">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1、资料必须密封，现场递交成都市新津区中医医院采购部（医院行政办公区二楼）。</w:t>
      </w:r>
    </w:p>
    <w:p w14:paraId="6D45B46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2、报价资料需按照医院要求格式报价。（附件2）</w:t>
      </w:r>
    </w:p>
    <w:p w14:paraId="0EDEDEDA">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3、提供电子版报价资料和相关服务方案简介资料，可优化和细化功能参数，以便医院甄选使用（</w:t>
      </w:r>
      <w:r>
        <w:rPr>
          <w:rFonts w:hint="eastAsia" w:ascii="仿宋" w:hAnsi="仿宋" w:eastAsia="仿宋" w:cs="仿宋"/>
          <w:b/>
          <w:bCs/>
          <w:color w:val="FF0000"/>
          <w:sz w:val="28"/>
          <w:szCs w:val="28"/>
        </w:rPr>
        <w:t>本项目</w:t>
      </w:r>
      <w:r>
        <w:rPr>
          <w:rFonts w:hint="eastAsia" w:ascii="仿宋" w:hAnsi="仿宋" w:eastAsia="仿宋" w:cs="仿宋"/>
          <w:b/>
          <w:bCs/>
          <w:color w:val="FF0000"/>
          <w:sz w:val="28"/>
          <w:szCs w:val="28"/>
          <w:lang w:val="en-US" w:eastAsia="zh-CN"/>
        </w:rPr>
        <w:t>无</w:t>
      </w:r>
      <w:r>
        <w:rPr>
          <w:rFonts w:hint="eastAsia" w:ascii="仿宋" w:hAnsi="仿宋" w:eastAsia="仿宋" w:cs="仿宋"/>
          <w:b/>
          <w:bCs/>
          <w:color w:val="FF0000"/>
          <w:sz w:val="28"/>
          <w:szCs w:val="28"/>
        </w:rPr>
        <w:t>需电子报价</w:t>
      </w:r>
      <w:r>
        <w:rPr>
          <w:rFonts w:hint="eastAsia" w:ascii="仿宋" w:hAnsi="仿宋" w:eastAsia="仿宋" w:cs="仿宋"/>
          <w:sz w:val="28"/>
          <w:szCs w:val="28"/>
        </w:rPr>
        <w:t>）</w:t>
      </w:r>
    </w:p>
    <w:p w14:paraId="11D4DA37">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4、参与供应商应符合《政府采购法》第二十二条的相关资质要求，具备相关资质。并提供相关证明材料或承诺函。 </w:t>
      </w:r>
    </w:p>
    <w:p w14:paraId="18720D96">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5、拟参与本项目的供应商如需了解项目情况，自行对接该项目负责人了解相关信息。</w:t>
      </w:r>
    </w:p>
    <w:p w14:paraId="053AA85D">
      <w:pPr>
        <w:spacing w:line="360" w:lineRule="auto"/>
        <w:ind w:firstLine="560" w:firstLineChars="200"/>
        <w:jc w:val="left"/>
        <w:rPr>
          <w:color w:val="auto"/>
        </w:rPr>
      </w:pPr>
      <w:r>
        <w:rPr>
          <w:rFonts w:hint="eastAsia" w:ascii="仿宋" w:hAnsi="仿宋" w:eastAsia="仿宋" w:cs="仿宋"/>
          <w:color w:val="auto"/>
          <w:sz w:val="28"/>
          <w:szCs w:val="28"/>
          <w:lang w:val="en-US" w:eastAsia="zh-CN"/>
        </w:rPr>
        <w:t>6、所有递交资料及相关证明材料必须加盖供应商鲜章有效。</w:t>
      </w:r>
    </w:p>
    <w:p w14:paraId="53F6BAEA">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本次公开询价结果只作为本项目采购预算价，不作为成交价。</w:t>
      </w:r>
    </w:p>
    <w:p w14:paraId="08556C0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其他事项</w:t>
      </w:r>
    </w:p>
    <w:p w14:paraId="68FD5C6A">
      <w:pPr>
        <w:spacing w:line="360" w:lineRule="auto"/>
        <w:ind w:firstLine="560" w:firstLineChars="200"/>
        <w:jc w:val="left"/>
        <w:rPr>
          <w:rFonts w:hint="default" w:ascii="仿宋" w:hAnsi="仿宋" w:eastAsia="仿宋" w:cs="仿宋"/>
          <w:color w:val="auto"/>
          <w:sz w:val="28"/>
          <w:szCs w:val="28"/>
          <w:lang w:val="en-US" w:eastAsia="zh-CN"/>
        </w:rPr>
      </w:pPr>
      <w:bookmarkStart w:id="0" w:name="_Toc20249"/>
      <w:bookmarkStart w:id="1" w:name="_Toc20665"/>
      <w:r>
        <w:rPr>
          <w:rFonts w:hint="eastAsia" w:ascii="仿宋" w:hAnsi="仿宋" w:eastAsia="仿宋" w:cs="仿宋"/>
          <w:color w:val="auto"/>
          <w:sz w:val="28"/>
          <w:szCs w:val="28"/>
          <w:lang w:val="en-US" w:eastAsia="zh-CN"/>
        </w:rPr>
        <w:t>1、报名资料接收时间：（2026年8月18日-2026年8月21日；文件接收截止日期：2026年8月25日16：00）递交资料人员须为法人或授权委托人并提供证明文件查看。报名登记表见附件3。</w:t>
      </w:r>
    </w:p>
    <w:p w14:paraId="454F155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2、公示人：成都市新津区中医医院 地址：成都市新津区西创大道1389号。</w:t>
      </w:r>
    </w:p>
    <w:p w14:paraId="35C790C4">
      <w:pPr>
        <w:spacing w:line="360" w:lineRule="auto"/>
        <w:ind w:firstLine="560" w:firstLineChars="200"/>
        <w:jc w:val="left"/>
        <w:rPr>
          <w:rFonts w:hint="default" w:hAnsi="宋体" w:cs="仿宋_GB2312"/>
          <w:color w:val="auto"/>
          <w:sz w:val="28"/>
          <w:szCs w:val="28"/>
          <w:lang w:val="en-US" w:eastAsia="zh-CN"/>
        </w:rPr>
      </w:pPr>
      <w:r>
        <w:rPr>
          <w:rFonts w:hint="eastAsia" w:ascii="仿宋" w:hAnsi="仿宋" w:eastAsia="仿宋" w:cs="仿宋"/>
          <w:color w:val="auto"/>
          <w:sz w:val="28"/>
          <w:szCs w:val="28"/>
          <w:lang w:val="en-US" w:eastAsia="zh-CN"/>
        </w:rPr>
        <w:t>3、报名联系人：潘老师、周老师028-82526150 ；项目咨询联系人：姚老师，18080955508。</w:t>
      </w:r>
    </w:p>
    <w:p w14:paraId="56EC0838">
      <w:pPr>
        <w:spacing w:line="360" w:lineRule="auto"/>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4、报名供应商可通过邮箱845865477@qq.com报名。报名需提交报名登记表及登记表要求的相关资质资料（盖公章）。</w:t>
      </w:r>
    </w:p>
    <w:p w14:paraId="69051BC5">
      <w:pPr>
        <w:numPr>
          <w:ilvl w:val="0"/>
          <w:numId w:val="0"/>
        </w:numPr>
        <w:spacing w:line="560" w:lineRule="exact"/>
        <w:rPr>
          <w:rFonts w:hint="eastAsia" w:ascii="仿宋" w:hAnsi="仿宋" w:eastAsia="仿宋" w:cs="仿宋"/>
          <w:b/>
          <w:bCs/>
          <w:color w:val="auto"/>
          <w:sz w:val="32"/>
          <w:szCs w:val="32"/>
          <w:lang w:val="en-US" w:eastAsia="zh-CN"/>
        </w:rPr>
      </w:pPr>
    </w:p>
    <w:p w14:paraId="6C596645">
      <w:pPr>
        <w:numPr>
          <w:ilvl w:val="0"/>
          <w:numId w:val="0"/>
        </w:numPr>
        <w:spacing w:line="560" w:lineRule="exact"/>
        <w:rPr>
          <w:rFonts w:hint="eastAsia" w:ascii="仿宋" w:hAnsi="仿宋" w:eastAsia="仿宋" w:cs="仿宋"/>
          <w:b/>
          <w:bCs/>
          <w:color w:val="auto"/>
          <w:sz w:val="32"/>
          <w:szCs w:val="32"/>
          <w:lang w:val="en-US" w:eastAsia="zh-CN"/>
        </w:rPr>
      </w:pPr>
    </w:p>
    <w:p w14:paraId="290D44DF">
      <w:pPr>
        <w:numPr>
          <w:ilvl w:val="0"/>
          <w:numId w:val="0"/>
        </w:numPr>
        <w:spacing w:line="560" w:lineRule="exact"/>
        <w:rPr>
          <w:rFonts w:hint="eastAsia" w:ascii="仿宋" w:hAnsi="仿宋" w:eastAsia="仿宋" w:cs="仿宋"/>
          <w:b/>
          <w:bCs/>
          <w:color w:val="auto"/>
          <w:sz w:val="32"/>
          <w:szCs w:val="32"/>
          <w:lang w:val="en-US" w:eastAsia="zh-CN"/>
        </w:rPr>
      </w:pPr>
    </w:p>
    <w:p w14:paraId="3B97DEFB">
      <w:pPr>
        <w:numPr>
          <w:ilvl w:val="0"/>
          <w:numId w:val="0"/>
        </w:numPr>
        <w:spacing w:line="560" w:lineRule="exact"/>
        <w:rPr>
          <w:rFonts w:hint="eastAsia" w:ascii="仿宋" w:hAnsi="仿宋" w:eastAsia="仿宋" w:cs="仿宋"/>
          <w:b/>
          <w:bCs/>
          <w:color w:val="auto"/>
          <w:sz w:val="32"/>
          <w:szCs w:val="32"/>
          <w:lang w:val="en-US" w:eastAsia="zh-CN"/>
        </w:rPr>
      </w:pPr>
    </w:p>
    <w:p w14:paraId="074C1B3A">
      <w:pPr>
        <w:numPr>
          <w:ilvl w:val="0"/>
          <w:numId w:val="0"/>
        </w:numPr>
        <w:spacing w:line="560" w:lineRule="exact"/>
        <w:rPr>
          <w:rFonts w:hint="eastAsia" w:ascii="仿宋" w:hAnsi="仿宋" w:eastAsia="仿宋" w:cs="仿宋"/>
          <w:b/>
          <w:bCs/>
          <w:color w:val="auto"/>
          <w:sz w:val="32"/>
          <w:szCs w:val="32"/>
          <w:lang w:val="en-US" w:eastAsia="zh-CN"/>
        </w:rPr>
      </w:pPr>
    </w:p>
    <w:p w14:paraId="4BCED486">
      <w:pPr>
        <w:pStyle w:val="6"/>
        <w:rPr>
          <w:rFonts w:hint="eastAsia" w:ascii="仿宋" w:hAnsi="仿宋" w:eastAsia="仿宋" w:cs="仿宋"/>
          <w:b/>
          <w:bCs/>
          <w:color w:val="auto"/>
          <w:sz w:val="32"/>
          <w:szCs w:val="32"/>
          <w:lang w:val="en-US" w:eastAsia="zh-CN"/>
        </w:rPr>
      </w:pPr>
    </w:p>
    <w:p w14:paraId="27F35458">
      <w:pPr>
        <w:pStyle w:val="8"/>
        <w:rPr>
          <w:rFonts w:hint="eastAsia"/>
          <w:lang w:val="en-US" w:eastAsia="zh-CN"/>
        </w:rPr>
      </w:pPr>
    </w:p>
    <w:p w14:paraId="04E3D95E">
      <w:pPr>
        <w:pStyle w:val="14"/>
        <w:rPr>
          <w:rFonts w:hint="eastAsia"/>
          <w:lang w:val="en-US" w:eastAsia="zh-CN"/>
        </w:rPr>
      </w:pPr>
    </w:p>
    <w:p w14:paraId="659C3763">
      <w:pPr>
        <w:numPr>
          <w:ilvl w:val="0"/>
          <w:numId w:val="0"/>
        </w:numPr>
        <w:spacing w:line="560" w:lineRule="exact"/>
        <w:rPr>
          <w:rFonts w:hint="eastAsia" w:ascii="仿宋" w:hAnsi="仿宋" w:eastAsia="仿宋" w:cs="仿宋"/>
          <w:b/>
          <w:bCs/>
          <w:color w:val="auto"/>
          <w:sz w:val="32"/>
          <w:szCs w:val="32"/>
          <w:lang w:val="en-US" w:eastAsia="zh-CN"/>
        </w:rPr>
      </w:pPr>
    </w:p>
    <w:p w14:paraId="0810B193">
      <w:pPr>
        <w:numPr>
          <w:ilvl w:val="0"/>
          <w:numId w:val="0"/>
        </w:numPr>
        <w:spacing w:line="56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附件1：</w:t>
      </w:r>
    </w:p>
    <w:p w14:paraId="37F62CB0">
      <w:pPr>
        <w:spacing w:line="500" w:lineRule="exact"/>
        <w:rPr>
          <w:rFonts w:hint="eastAsia" w:ascii="黑体" w:hAnsi="黑体" w:eastAsia="黑体" w:cs="黑体"/>
          <w:sz w:val="32"/>
          <w:szCs w:val="32"/>
          <w:lang w:val="en-US" w:eastAsia="zh-CN"/>
        </w:rPr>
      </w:pPr>
      <w:r>
        <w:rPr>
          <w:rFonts w:hint="eastAsia" w:ascii="黑体" w:hAnsi="黑体" w:eastAsia="黑体" w:cs="黑体"/>
          <w:sz w:val="32"/>
          <w:szCs w:val="32"/>
        </w:rPr>
        <w:t>一、</w:t>
      </w:r>
      <w:r>
        <w:rPr>
          <w:rFonts w:hint="eastAsia" w:ascii="黑体" w:hAnsi="黑体" w:eastAsia="黑体" w:cs="黑体"/>
          <w:sz w:val="32"/>
          <w:szCs w:val="32"/>
          <w:lang w:val="en-US" w:eastAsia="zh-CN"/>
        </w:rPr>
        <w:t>项目基本情况</w:t>
      </w:r>
    </w:p>
    <w:p w14:paraId="3B4547FB">
      <w:pPr>
        <w:spacing w:line="600" w:lineRule="exact"/>
        <w:ind w:firstLine="560" w:firstLineChars="200"/>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本服务针对新津区中医医院全院区整套安防系统提供专属运维保障，整体安防设备包含视频监控类设备、一键报警以及入侵探测装置设备安装等，覆盖医院所有区域，包含门诊、住院、药房、医技、行政、出入口、停车场、公共通道等全部点位，涵盖各类枪机、球机、独立摄像机、POE 交换机、光纤收发器、监控硬盘、传输线缆、NVR、EVS 存储服务器、机房解码上墙设备、汇聚网络设备，以及全院分布的 4G 无线一键报警装置、报警主机等全套安防设施，围绕医院医疗安全、治安防控、应急处置、事后溯源、合规存档等管理需求，提供全周期常态化技术运维服务，保障整套安防系统 7×24 小时不间断稳定运行。</w:t>
      </w:r>
    </w:p>
    <w:p w14:paraId="6A0AB451">
      <w:pPr>
        <w:spacing w:line="600" w:lineRule="exact"/>
        <w:rPr>
          <w:rFonts w:hint="eastAsia" w:ascii="黑体" w:hAnsi="黑体" w:eastAsia="黑体" w:cs="黑体"/>
          <w:sz w:val="32"/>
          <w:szCs w:val="32"/>
          <w:lang w:val="en-US" w:eastAsia="zh-CN"/>
        </w:rPr>
      </w:pPr>
      <w:r>
        <w:rPr>
          <w:rFonts w:hint="eastAsia" w:ascii="黑体" w:hAnsi="黑体" w:eastAsia="黑体" w:cs="黑体"/>
          <w:sz w:val="28"/>
          <w:szCs w:val="28"/>
        </w:rPr>
        <w:t>★</w:t>
      </w:r>
      <w:r>
        <w:rPr>
          <w:rFonts w:hint="eastAsia" w:ascii="黑体" w:hAnsi="黑体" w:eastAsia="黑体" w:cs="黑体"/>
          <w:sz w:val="32"/>
          <w:szCs w:val="32"/>
        </w:rPr>
        <w:t>二、</w:t>
      </w:r>
      <w:r>
        <w:rPr>
          <w:rFonts w:hint="eastAsia" w:ascii="黑体" w:hAnsi="黑体" w:eastAsia="黑体" w:cs="黑体"/>
          <w:sz w:val="32"/>
          <w:szCs w:val="32"/>
          <w:lang w:val="en-US" w:eastAsia="zh-CN"/>
        </w:rPr>
        <w:t>采购需求</w:t>
      </w:r>
    </w:p>
    <w:p w14:paraId="30698E66">
      <w:pPr>
        <w:pStyle w:val="6"/>
        <w:keepNext w:val="0"/>
        <w:keepLines w:val="0"/>
        <w:pageBreakBefore w:val="0"/>
        <w:widowControl w:val="0"/>
        <w:kinsoku/>
        <w:wordWrap/>
        <w:overflowPunct/>
        <w:topLinePunct w:val="0"/>
        <w:autoSpaceDE/>
        <w:autoSpaceDN/>
        <w:bidi w:val="0"/>
        <w:adjustRightInd w:val="0"/>
        <w:snapToGrid/>
        <w:ind w:left="0" w:leftChars="0"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一：</w:t>
      </w: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一</w:t>
      </w:r>
      <w:r>
        <w:rPr>
          <w:rFonts w:hint="eastAsia" w:ascii="仿宋" w:hAnsi="仿宋" w:eastAsia="仿宋" w:cs="仿宋"/>
          <w:b/>
          <w:bCs/>
          <w:sz w:val="28"/>
          <w:szCs w:val="28"/>
          <w:lang w:eastAsia="zh-CN"/>
        </w:rPr>
        <w:t>）全系统常态化巡检与预防性维护服务</w:t>
      </w:r>
    </w:p>
    <w:p w14:paraId="5E751056">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服务期间定期开展全院安防设施全覆盖巡检养护工作，同步覆盖视频监控设备与无线一键报警设备，逐项检测设备运行状态、做好基础养护工作。</w:t>
      </w:r>
    </w:p>
    <w:p w14:paraId="248AEE63">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1.视频监控板块：对所有摄像设备除尘清洁、校正监控角度，消除监控盲区；检查交换机、传输线路、机房存储设备散热、线路规整，定期检测硬盘健康度、录像存储周期，排查线路防水、老化破损隐患，提前规避离线、卡顿、录像丢失等问题。</w:t>
      </w:r>
    </w:p>
    <w:p w14:paraId="50961764">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2.一键报警板块：逐点位巡检全院 4G 紧急报警器，检查设备电量、外壳完好度、信号收发状态，测试报警触发、短信 / 微信 / 电话推送、平台上报功能，核对报警点位名称、定位信息是否准确；检查机房报警主机接收状态、运营商链路通畅性，排查信号弱、触发无推送、设备低电量、外壳破损等隐患，保障突发情况报警功能正常可用。</w:t>
      </w:r>
    </w:p>
    <w:p w14:paraId="67D99B40">
      <w:pPr>
        <w:pStyle w:val="6"/>
        <w:keepNext w:val="0"/>
        <w:keepLines w:val="0"/>
        <w:pageBreakBefore w:val="0"/>
        <w:widowControl w:val="0"/>
        <w:kinsoku/>
        <w:wordWrap/>
        <w:overflowPunct/>
        <w:topLinePunct w:val="0"/>
        <w:autoSpaceDE/>
        <w:autoSpaceDN/>
        <w:bidi w:val="0"/>
        <w:adjustRightInd w:val="0"/>
        <w:snapToGrid/>
        <w:ind w:left="0" w:leftChars="0"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二</w:t>
      </w:r>
      <w:r>
        <w:rPr>
          <w:rFonts w:hint="eastAsia" w:ascii="仿宋" w:hAnsi="仿宋" w:eastAsia="仿宋" w:cs="仿宋"/>
          <w:b/>
          <w:bCs/>
          <w:sz w:val="28"/>
          <w:szCs w:val="28"/>
          <w:lang w:eastAsia="zh-CN"/>
        </w:rPr>
        <w:t>）无耗材免费故障排查与全天候技术支持服务</w:t>
      </w:r>
    </w:p>
    <w:p w14:paraId="73C14634">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所有无需更换硬件、耗材的排查、调试、检修工作全部免费，不收取上门费、排查费、调试工时费。</w:t>
      </w:r>
    </w:p>
    <w:p w14:paraId="571A9DB2">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监控类免费服务：摄像机掉线、画面花屏卡顿、录像异常、网络不通、NVR 参数错乱、平台预览回放故障、监控时间校准、录像调取导出、远程调试等；</w:t>
      </w:r>
    </w:p>
    <w:p w14:paraId="056D5274">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一键报警免费服务：报警器触发无通知、信号不稳定、点位信息错乱、报警主机接收异常、远程推送故障、设备功能调试、报警联动设置优化等；</w:t>
      </w:r>
    </w:p>
    <w:p w14:paraId="51FEF164">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同步提供 7×24 小时远程线上技术支撑，实时解答设备操作疑问，远程处置简易故障，配合院内工作人员调取视频、测试报警装置，全程无额外服务收费。</w:t>
      </w:r>
    </w:p>
    <w:p w14:paraId="38681C02">
      <w:pPr>
        <w:pStyle w:val="6"/>
        <w:keepNext w:val="0"/>
        <w:keepLines w:val="0"/>
        <w:pageBreakBefore w:val="0"/>
        <w:widowControl w:val="0"/>
        <w:kinsoku/>
        <w:wordWrap/>
        <w:overflowPunct/>
        <w:topLinePunct w:val="0"/>
        <w:autoSpaceDE/>
        <w:autoSpaceDN/>
        <w:bidi w:val="0"/>
        <w:adjustRightInd w:val="0"/>
        <w:snapToGrid/>
        <w:ind w:left="0" w:leftChars="0"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（三）应急抢修与专项保障服务</w:t>
      </w:r>
    </w:p>
    <w:p w14:paraId="6F87B0C3">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针对安防系统突发故障建立分级应急处置机制：院区出入口、门诊、护士站等核心监控点位、护士站一键报警装置出现瘫痪失效，列为紧急故障优先上门抢修，快速恢复设备功能；每逢节假日、院内大型活动、上级专项检查前，对全院监控、一键报警系统开展全面预检，提前排查潜在故障，保障重点时段院区视频监控全覆盖、应急报警系统灵敏可靠，支撑医院治安与医疗安全管理。</w:t>
      </w:r>
    </w:p>
    <w:p w14:paraId="762A9F49">
      <w:pPr>
        <w:pStyle w:val="6"/>
        <w:keepNext w:val="0"/>
        <w:keepLines w:val="0"/>
        <w:pageBreakBefore w:val="0"/>
        <w:widowControl w:val="0"/>
        <w:kinsoku/>
        <w:wordWrap/>
        <w:overflowPunct/>
        <w:topLinePunct w:val="0"/>
        <w:autoSpaceDE/>
        <w:autoSpaceDN/>
        <w:bidi w:val="0"/>
        <w:adjustRightInd w:val="0"/>
        <w:snapToGrid/>
        <w:ind w:left="0" w:leftChars="0"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四</w:t>
      </w:r>
      <w:r>
        <w:rPr>
          <w:rFonts w:hint="eastAsia" w:ascii="仿宋" w:hAnsi="仿宋" w:eastAsia="仿宋" w:cs="仿宋"/>
          <w:b/>
          <w:bCs/>
          <w:sz w:val="28"/>
          <w:szCs w:val="28"/>
          <w:lang w:eastAsia="zh-CN"/>
        </w:rPr>
        <w:t>）耗材更换配套服务与计费规则</w:t>
      </w:r>
    </w:p>
    <w:p w14:paraId="2C8B68E4">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整体服务执行 “无耗材免费维保，有耗材据实计费” 模式：仅巡检、调试、故障排查、功能测试，不更换任何配件物料的作业，全部免费服务，不计取人工工时费；</w:t>
      </w:r>
    </w:p>
    <w:p w14:paraId="4C29F263">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经现场检测确认设备硬件损坏，需要更换摄像头、硬盘、交换机、网线、光纤、POE 设备、4G 报警器、报警配套配件等物料方可修复故障时，同步核算对应施工人工工时费用，工时按照1工日8小时标准核算，配件材料费、工时费均提前与院方管理人员确认后再施工，全部费用据实结算，全程价格透明合规。</w:t>
      </w:r>
    </w:p>
    <w:p w14:paraId="556DD890">
      <w:pPr>
        <w:pStyle w:val="6"/>
        <w:keepNext w:val="0"/>
        <w:keepLines w:val="0"/>
        <w:pageBreakBefore w:val="0"/>
        <w:widowControl w:val="0"/>
        <w:kinsoku/>
        <w:wordWrap/>
        <w:overflowPunct/>
        <w:topLinePunct w:val="0"/>
        <w:autoSpaceDE/>
        <w:autoSpaceDN/>
        <w:bidi w:val="0"/>
        <w:adjustRightInd w:val="0"/>
        <w:snapToGrid/>
        <w:ind w:left="0" w:leftChars="0"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五</w:t>
      </w:r>
      <w:r>
        <w:rPr>
          <w:rFonts w:hint="eastAsia" w:ascii="仿宋" w:hAnsi="仿宋" w:eastAsia="仿宋" w:cs="仿宋"/>
          <w:b/>
          <w:bCs/>
          <w:sz w:val="28"/>
          <w:szCs w:val="28"/>
          <w:lang w:eastAsia="zh-CN"/>
        </w:rPr>
        <w:t>）系统兼容适配保障</w:t>
      </w:r>
    </w:p>
    <w:p w14:paraId="13F0967A">
      <w:pPr>
        <w:pStyle w:val="6"/>
        <w:keepNext w:val="0"/>
        <w:keepLines w:val="0"/>
        <w:pageBreakBefore w:val="0"/>
        <w:widowControl w:val="0"/>
        <w:kinsoku/>
        <w:wordWrap/>
        <w:overflowPunct/>
        <w:topLinePunct w:val="0"/>
        <w:autoSpaceDE/>
        <w:autoSpaceDN/>
        <w:bidi w:val="0"/>
        <w:adjustRightInd w:val="0"/>
        <w:snapToGrid/>
        <w:ind w:left="0" w:leftChars="0"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所有后期更换、新增的监控设备、报警配套设备，均与院内现有 EVS 存储、DSS 管理平台、报警主机、运营商传输链路完全兼容，新旧设备无缝接入统一管理平台，不出现系统冲突、信号隔离、报警失效等问题，保证整套安防系统整体性、完整性。</w:t>
      </w:r>
    </w:p>
    <w:p w14:paraId="4AFB35FF">
      <w:pPr>
        <w:pStyle w:val="6"/>
        <w:ind w:left="0" w:leftChars="0" w:firstLine="0" w:firstLineChars="0"/>
        <w:rPr>
          <w:rFonts w:hint="eastAsia" w:ascii="Times New Roman" w:hAnsi="Times New Roman" w:eastAsia="宋体" w:cs="Times New Roman"/>
          <w:sz w:val="24"/>
          <w:szCs w:val="24"/>
          <w:lang w:eastAsia="zh-CN"/>
        </w:rPr>
      </w:pPr>
    </w:p>
    <w:p w14:paraId="33B50F57">
      <w:pPr>
        <w:pStyle w:val="6"/>
        <w:ind w:left="0" w:leftChars="0" w:firstLine="0" w:firstLineChars="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drawing>
          <wp:inline distT="0" distB="0" distL="114300" distR="114300">
            <wp:extent cx="5291455" cy="2956560"/>
            <wp:effectExtent l="0" t="0" r="4445" b="15240"/>
            <wp:docPr id="1" name="图片 1" descr="新津区中医医院安防系统网络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新津区中医医院安防系统网络拓扑图"/>
                    <pic:cNvPicPr>
                      <a:picLocks noChangeAspect="1"/>
                    </pic:cNvPicPr>
                  </pic:nvPicPr>
                  <pic:blipFill>
                    <a:blip r:embed="rId5"/>
                    <a:stretch>
                      <a:fillRect/>
                    </a:stretch>
                  </pic:blipFill>
                  <pic:spPr>
                    <a:xfrm>
                      <a:off x="0" y="0"/>
                      <a:ext cx="5291455" cy="2956560"/>
                    </a:xfrm>
                    <a:prstGeom prst="rect">
                      <a:avLst/>
                    </a:prstGeom>
                  </pic:spPr>
                </pic:pic>
              </a:graphicData>
            </a:graphic>
          </wp:inline>
        </w:drawing>
      </w:r>
    </w:p>
    <w:p w14:paraId="62B2619B">
      <w:pPr>
        <w:pStyle w:val="13"/>
        <w:jc w:val="both"/>
        <w:rPr>
          <w:rFonts w:hint="eastAsia" w:ascii="仿宋" w:hAnsi="仿宋" w:eastAsia="仿宋" w:cs="仿宋"/>
          <w:sz w:val="28"/>
          <w:szCs w:val="28"/>
        </w:rPr>
      </w:pPr>
      <w:r>
        <w:rPr>
          <w:rFonts w:hint="eastAsia" w:ascii="仿宋" w:hAnsi="仿宋" w:eastAsia="仿宋" w:cs="仿宋"/>
          <w:kern w:val="2"/>
          <w:sz w:val="28"/>
          <w:szCs w:val="28"/>
          <w:lang w:val="en-US" w:eastAsia="zh-CN" w:bidi="ar-SA"/>
        </w:rPr>
        <w:t>二、安防设备零星安装耗材清单</w:t>
      </w:r>
    </w:p>
    <w:tbl>
      <w:tblPr>
        <w:tblStyle w:val="16"/>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2"/>
        <w:gridCol w:w="1148"/>
        <w:gridCol w:w="3841"/>
        <w:gridCol w:w="1782"/>
        <w:gridCol w:w="1461"/>
      </w:tblGrid>
      <w:tr w14:paraId="75B9A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39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9E12858">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642"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441EC46">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物品名称</w:t>
            </w:r>
          </w:p>
        </w:tc>
        <w:tc>
          <w:tcPr>
            <w:tcW w:w="214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3D0A3F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服务、功能需求及参数</w:t>
            </w:r>
          </w:p>
        </w:tc>
        <w:tc>
          <w:tcPr>
            <w:tcW w:w="996"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004937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单位</w:t>
            </w:r>
          </w:p>
        </w:tc>
        <w:tc>
          <w:tcPr>
            <w:tcW w:w="815"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982DBD">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预估数量</w:t>
            </w:r>
          </w:p>
        </w:tc>
      </w:tr>
      <w:tr w14:paraId="791CB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8"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762A9A7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0A969F8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枪型数字高清摄像头</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04AEBFC6">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传感器：1/2.8 英寸 CMOS，逐行扫描</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有效像素：≥200 万，最大分辨率1920×1080@30fps</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最低照度：彩色≤0.002Lux；黑白≤0.0002Lux；0Lux（红外开启）</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补光控制：智能红外，亮度自适应</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视频编码：H.265+/H.264+，Smart 编码，支持三码流</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智能功能：绊线入侵、区域入侵、人脸检测、3D 数字降噪、宽动态（WDR≥120dB</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报警输入：≥2 路，湿节点，支持3V～5VDC，5mA</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报警输出：≥2 路，干 / 湿节点，支持30VDC/1A、50VAC/0.5A</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报警联动：支持外部报警输入触发录像、抓拍、声光、邮件、平台推送</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报警事件：支持外部报警、视频遮挡、动态检测、异常音频、网络异常等</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供电：DC12V/PoE（IEEE 802.3af）双供电</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包含安装所需的支架</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4605DD5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523A9D9D">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20</w:t>
            </w:r>
          </w:p>
        </w:tc>
      </w:tr>
      <w:tr w14:paraId="73922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40" w:hRule="atLeast"/>
        </w:trPr>
        <w:tc>
          <w:tcPr>
            <w:tcW w:w="398" w:type="pct"/>
            <w:tcBorders>
              <w:top w:val="nil"/>
              <w:left w:val="single" w:color="000000" w:sz="8" w:space="0"/>
              <w:bottom w:val="single" w:color="auto" w:sz="4" w:space="0"/>
              <w:right w:val="single" w:color="000000" w:sz="8" w:space="0"/>
            </w:tcBorders>
            <w:shd w:val="clear" w:color="auto" w:fill="auto"/>
            <w:vAlign w:val="center"/>
          </w:tcPr>
          <w:p w14:paraId="066BA8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642" w:type="pct"/>
            <w:tcBorders>
              <w:top w:val="nil"/>
              <w:left w:val="single" w:color="000000" w:sz="8" w:space="0"/>
              <w:bottom w:val="single" w:color="auto" w:sz="4" w:space="0"/>
              <w:right w:val="single" w:color="000000" w:sz="8" w:space="0"/>
            </w:tcBorders>
            <w:shd w:val="clear" w:color="auto" w:fill="auto"/>
            <w:vAlign w:val="center"/>
          </w:tcPr>
          <w:p w14:paraId="0E8590A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球型数字高清摄像头</w:t>
            </w:r>
          </w:p>
        </w:tc>
        <w:tc>
          <w:tcPr>
            <w:tcW w:w="2147" w:type="pct"/>
            <w:tcBorders>
              <w:top w:val="nil"/>
              <w:left w:val="single" w:color="000000" w:sz="8" w:space="0"/>
              <w:bottom w:val="single" w:color="auto" w:sz="4" w:space="0"/>
              <w:right w:val="single" w:color="000000" w:sz="8" w:space="0"/>
            </w:tcBorders>
            <w:shd w:val="clear" w:color="auto" w:fill="auto"/>
            <w:vAlign w:val="center"/>
          </w:tcPr>
          <w:p w14:paraId="79670331">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成像性能：设备为室外星光级智能网络球机，采用1/2.8英寸及以上星光级CMOS传感器，200万像素（1920×1080），支持1080P@25/3fps实时编码；彩色照度≤0.001Lux、黑白照度≤0.0001Lux，具备宽动态、3D降噪、强光抑制、电子防抖等图像增强能力，支持0Lux红外夜视，红外补光距离≥50米，白光警戒补光距离≥30米，支持红外、全彩、智能警戒多模式切换。</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变焦与云台性能：支持32倍光学变焦，全程自动快速对焦、无虚焦卡顿，支持预置位记忆；云台支持水平360°连续旋转，垂直俯仰-15°~90°无监控盲区，水平转速0.1°~200°/s、垂直转速0.1°~120°/s，支持256组预置位、自动巡航、轨迹记忆、断电重启状态恢复等功能。</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智能算法与预警功能：内置AI智能分析算法，支持人形检测、越界、入侵、徘徊、物品遗留/丢失、遮挡报警等智能侦测；设备集成声光警戒及双向语音对讲，支持报警白光闪烁、高音警示、自定义语音远程喊话，支持H.265/H.264智能编码，有效降低带宽及存储占用。</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组网供电与存储：支持GB/T28181、ONVIF、RTSP等通用标准协议，兼容主流监控平台与NVR设备；支持DC12V、PoE（802.3af）双供电模式；具备断网续传、报警抓拍、本地缓存功能。</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防护环境与售后资质：设备整机IP67防尘防水、IK10抗撞击，工作温度-40℃~+70℃、湿度0%-95%无冷凝，适应户外恶劣环境；所供设备为全新正品，可提供合格证及检测报告，提供不少于3年整机质保、7×24小时售后技术支持，标配全套安装防水配件，支持远程升级与设备在线巡检。</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包含安装所需的支架</w:t>
            </w:r>
          </w:p>
        </w:tc>
        <w:tc>
          <w:tcPr>
            <w:tcW w:w="996" w:type="pct"/>
            <w:tcBorders>
              <w:top w:val="nil"/>
              <w:left w:val="single" w:color="000000" w:sz="8" w:space="0"/>
              <w:bottom w:val="single" w:color="auto" w:sz="4" w:space="0"/>
              <w:right w:val="single" w:color="000000" w:sz="8" w:space="0"/>
            </w:tcBorders>
            <w:shd w:val="clear" w:color="auto" w:fill="auto"/>
            <w:vAlign w:val="center"/>
          </w:tcPr>
          <w:p w14:paraId="31C7C90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auto" w:sz="4" w:space="0"/>
              <w:right w:val="single" w:color="000000" w:sz="8" w:space="0"/>
            </w:tcBorders>
            <w:shd w:val="clear" w:color="auto" w:fill="auto"/>
            <w:noWrap/>
            <w:vAlign w:val="center"/>
          </w:tcPr>
          <w:p w14:paraId="2EB19E4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2</w:t>
            </w:r>
          </w:p>
        </w:tc>
      </w:tr>
      <w:tr w14:paraId="251FA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40" w:hRule="atLeast"/>
        </w:trPr>
        <w:tc>
          <w:tcPr>
            <w:tcW w:w="398" w:type="pct"/>
            <w:tcBorders>
              <w:top w:val="single" w:color="auto" w:sz="4" w:space="0"/>
              <w:left w:val="single" w:color="auto" w:sz="4" w:space="0"/>
              <w:bottom w:val="single" w:color="auto" w:sz="4" w:space="0"/>
              <w:right w:val="single" w:color="auto" w:sz="4" w:space="0"/>
            </w:tcBorders>
            <w:shd w:val="clear" w:color="auto" w:fill="auto"/>
            <w:vAlign w:val="center"/>
          </w:tcPr>
          <w:p w14:paraId="6508862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642" w:type="pct"/>
            <w:tcBorders>
              <w:top w:val="single" w:color="auto" w:sz="4" w:space="0"/>
              <w:left w:val="single" w:color="auto" w:sz="4" w:space="0"/>
              <w:bottom w:val="single" w:color="auto" w:sz="4" w:space="0"/>
              <w:right w:val="single" w:color="auto" w:sz="4" w:space="0"/>
            </w:tcBorders>
            <w:shd w:val="clear" w:color="auto" w:fill="auto"/>
            <w:vAlign w:val="center"/>
          </w:tcPr>
          <w:p w14:paraId="04D1D3F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6类网络线缆</w:t>
            </w:r>
          </w:p>
        </w:tc>
        <w:tc>
          <w:tcPr>
            <w:tcW w:w="2147" w:type="pct"/>
            <w:tcBorders>
              <w:top w:val="single" w:color="auto" w:sz="4" w:space="0"/>
              <w:left w:val="single" w:color="auto" w:sz="4" w:space="0"/>
              <w:bottom w:val="single" w:color="auto" w:sz="4" w:space="0"/>
              <w:right w:val="single" w:color="auto" w:sz="4" w:space="0"/>
            </w:tcBorders>
            <w:shd w:val="clear" w:color="auto" w:fill="auto"/>
            <w:vAlign w:val="center"/>
          </w:tcPr>
          <w:p w14:paraId="4D02EAF8">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产品类别：国标六类非屏蔽双绞线（CAT6 UTP），4对8芯结构，支持千兆网络传输，兼容百兆、千兆、万兆短距离传输应用。</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导体材质：采用高纯无氧铜导体，单芯实芯铜线，导体线径≥0.57mm，杜绝铜包铝、铜包铁、杂铜材质，电阻、衰减完全符合六类标准。</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绝缘材质：单芯绝缘层采用高密度HDPE聚乙烯材料，绝缘性能稳定、耐老化、耐压、抗干扰，保证长期传输稳定性。</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线对结构：四对线芯采用差异化绞距设计，严格绞合，有效降低线对串扰、衰减、回波损耗，满足六类传输指标要求。</w:t>
            </w:r>
          </w:p>
        </w:tc>
        <w:tc>
          <w:tcPr>
            <w:tcW w:w="996" w:type="pct"/>
            <w:tcBorders>
              <w:top w:val="single" w:color="auto" w:sz="4" w:space="0"/>
              <w:left w:val="single" w:color="auto" w:sz="4" w:space="0"/>
              <w:bottom w:val="single" w:color="auto" w:sz="4" w:space="0"/>
              <w:right w:val="single" w:color="auto" w:sz="4" w:space="0"/>
            </w:tcBorders>
            <w:shd w:val="clear" w:color="auto" w:fill="auto"/>
            <w:vAlign w:val="center"/>
          </w:tcPr>
          <w:p w14:paraId="4207E01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箱</w:t>
            </w:r>
          </w:p>
        </w:tc>
        <w:tc>
          <w:tcPr>
            <w:tcW w:w="139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53E32">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2</w:t>
            </w:r>
          </w:p>
        </w:tc>
      </w:tr>
      <w:tr w14:paraId="11BB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0" w:hRule="atLeast"/>
        </w:trPr>
        <w:tc>
          <w:tcPr>
            <w:tcW w:w="398" w:type="pct"/>
            <w:tcBorders>
              <w:top w:val="single" w:color="auto" w:sz="4" w:space="0"/>
              <w:left w:val="single" w:color="000000" w:sz="8" w:space="0"/>
              <w:bottom w:val="single" w:color="000000" w:sz="8" w:space="0"/>
              <w:right w:val="single" w:color="000000" w:sz="8" w:space="0"/>
            </w:tcBorders>
            <w:shd w:val="clear" w:color="auto" w:fill="auto"/>
            <w:vAlign w:val="center"/>
          </w:tcPr>
          <w:p w14:paraId="44E683E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642" w:type="pct"/>
            <w:tcBorders>
              <w:top w:val="single" w:color="auto" w:sz="4" w:space="0"/>
              <w:left w:val="single" w:color="000000" w:sz="8" w:space="0"/>
              <w:bottom w:val="single" w:color="000000" w:sz="8" w:space="0"/>
              <w:right w:val="single" w:color="000000" w:sz="8" w:space="0"/>
            </w:tcBorders>
            <w:shd w:val="clear" w:color="auto" w:fill="auto"/>
            <w:vAlign w:val="center"/>
          </w:tcPr>
          <w:p w14:paraId="5D7364F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光纤收发器</w:t>
            </w:r>
          </w:p>
        </w:tc>
        <w:tc>
          <w:tcPr>
            <w:tcW w:w="2147" w:type="pct"/>
            <w:tcBorders>
              <w:top w:val="single" w:color="auto" w:sz="4" w:space="0"/>
              <w:left w:val="single" w:color="000000" w:sz="8" w:space="0"/>
              <w:bottom w:val="single" w:color="000000" w:sz="8" w:space="0"/>
              <w:right w:val="single" w:color="000000" w:sz="8" w:space="0"/>
            </w:tcBorders>
            <w:shd w:val="clear" w:color="auto" w:fill="auto"/>
            <w:vAlign w:val="center"/>
          </w:tcPr>
          <w:p w14:paraId="1BC254BE">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设备规格：2.5G光电自适应收发器，单模单纤、1光1电结构，成对使用，支持远距离网络数据传输，完美适配高清监控大码流传输场景。</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传输速率：光纤端口、网口均支持10/100/1000/2500Mbps自适应，全千兆无阻塞转发，支持线速转发，无丢包、无卡顿。</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传输距离：支持单模光纤传输，标准传输距离≥20KM，可适配项目远距离组网需求，支持超长距离稳定传输。</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光纤波长：发射端波长1310nm，接收端波长1550nm，单纤双向传输，标准通信波长，兼容市面主流千兆光纤设备。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网口性能：电口支持千兆自适应、自动翻转MDI/MDIX，支持全/半双工自适应，适配各类交换机、摄像头、终端网络设备对接。</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工作模式：支持标准以太网协议，支持超长帧传输、自动协商功能，杜绝数据丢包、传输延迟问题。</w:t>
            </w:r>
          </w:p>
        </w:tc>
        <w:tc>
          <w:tcPr>
            <w:tcW w:w="996" w:type="pct"/>
            <w:tcBorders>
              <w:top w:val="single" w:color="auto" w:sz="4" w:space="0"/>
              <w:left w:val="single" w:color="000000" w:sz="8" w:space="0"/>
              <w:bottom w:val="single" w:color="000000" w:sz="8" w:space="0"/>
              <w:right w:val="single" w:color="000000" w:sz="8" w:space="0"/>
            </w:tcBorders>
            <w:shd w:val="clear" w:color="auto" w:fill="auto"/>
            <w:vAlign w:val="center"/>
          </w:tcPr>
          <w:p w14:paraId="236AD38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对</w:t>
            </w:r>
          </w:p>
        </w:tc>
        <w:tc>
          <w:tcPr>
            <w:tcW w:w="1392" w:type="dxa"/>
            <w:tcBorders>
              <w:top w:val="single" w:color="auto" w:sz="4" w:space="0"/>
              <w:left w:val="single" w:color="000000" w:sz="8" w:space="0"/>
              <w:bottom w:val="single" w:color="000000" w:sz="8" w:space="0"/>
              <w:right w:val="single" w:color="000000" w:sz="8" w:space="0"/>
            </w:tcBorders>
            <w:shd w:val="clear" w:color="auto" w:fill="auto"/>
            <w:noWrap/>
            <w:vAlign w:val="center"/>
          </w:tcPr>
          <w:p w14:paraId="5B5B995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5</w:t>
            </w:r>
          </w:p>
        </w:tc>
      </w:tr>
      <w:tr w14:paraId="1490F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52AB143B">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2F8BC9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5口POE交换机</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722488F9">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端口规格：设备配备5个2.5G Base-T自适应RJ45电口，全端口支持数据传输+PoE供电功能，无复用端口、无缩水端口设计。</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传输速率：端口支持10/100/1000/2500Mbps自适应，支持2.5G线速无阻塞转发，超大带宽，彻底解决高清监控码流卡顿、带宽不足问题。</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PoE供电标准：完全兼容IEEE802.3af/at标准，支持标准PoE供电，兼容所有国标PoE网络摄像头、无线AP等终端设备，支持智能供电识别，不烧设备。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整机供电功率：设备内置电源，整机PoE最大输出功率≥60W，单口最大供电功率≥30W，可稳定带动高清星光级摄像头、带音频、带报警功能的高端监控设备。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转发性能：交换容量≥12.5Gbps，包转发率≥9.3Mpps，全线速转发，无丢包、无广播风暴，多终端同时在线传输稳定。</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帧缓存：大容量缓存设计，支持超长帧传输，适配高清视频大码流并发传输，有效避免数据拥堵、画面延迟卡顿。</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24892AA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33FF3275">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5</w:t>
            </w:r>
          </w:p>
        </w:tc>
      </w:tr>
      <w:tr w14:paraId="1972C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4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22A319F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4E59890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8口POE交换机</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1C5F60EB">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端口规格：设备配备8个2.5G Base-T自适应RJ45电口，全端口支持数据传输+PoE供电功能，无复用端口、无缩水端口设计，所有端口均可同时用作数据传输与POE供电，端口资源充分利用，满足多终端组网需求。</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传输速率：端口支持10/100/1000/2500Mbps自适应，支持2.5G线速无阻塞转发，超大带宽冗余设计，彻底解决多路高清监控码流卡顿、带宽不足、传输拥堵等问题，适配高清视频、大数据传输等各类高速组网场景。</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PoE供电标准：完全兼容IEEE802.3af/at标准，支持标准PoE供电，兼容所有国标PoE网络摄像头、无线AP、门禁设备等各类PoE终端；搭载智能供电识别芯片，自动适配终端供电功率，防过载、防短路，有效保护终端设备，杜绝烧机风险。</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整机供电功率：设备内置大功率专用电源，整机PoE最大输出功率≥120W，单口最大供电功率≥30W，可稳定带动高清星光级摄像头、带音频、双向对讲、报警功能的高端监控设备，支持多台高功耗终端同时稳定供电。</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转发性能：交换容量≥20Gbps，包转发率≥14.88Mpps，全线速无阻塞转发架构，杜绝数据丢包、广播风暴、传输延迟等问题，多终端同时在线并发传输，运行稳定不掉线，适配中小型多路监控组网场景。</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帧缓存：搭载大容量高速帧缓存设计，支持超长帧稳定传输，完美适配多路高清视频大码流并发传输需求，有效缓解数据拥堵，大幅降低画面延迟、卡顿、花屏概率，保障全天候不间断稳定传输。</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7753614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19EC79A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2</w:t>
            </w:r>
          </w:p>
        </w:tc>
      </w:tr>
      <w:tr w14:paraId="67DCD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12"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2AF53A56">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7</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2FFC165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独立式监控摄像头</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1AF04F59">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Style w:val="26"/>
                <w:rFonts w:hint="eastAsia" w:ascii="仿宋" w:hAnsi="仿宋" w:eastAsia="仿宋" w:cs="仿宋"/>
                <w:sz w:val="28"/>
                <w:szCs w:val="28"/>
                <w:lang w:val="en-US" w:eastAsia="zh-CN" w:bidi="ar"/>
              </w:rPr>
              <w:t>分辨率与清晰度：≥400 万像素（2560×1440），支持 H.265 高效视频编码，码率自适应，同等画质下存储空间节省 50%。</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传感器：采用 1/3 英寸及以上逐行扫描 CMOS 传感器，支持数字宽动态、3D 数字降噪，逆光 / 暗光环境成像清晰。</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镜头与视角：定焦镜头（2.8mm/4mm 可选），水平视场角≥110°，支持 ICR 红外滤片式日夜自动切换。</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帧率：主码流帧率≥25fps，支持双码流输出，满足本地高清存储与远程流畅查看需求。</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夜视功能：红外补光距离≥30 米，支持红外夜视 / 全彩夜视可选，夜间监控无死角。</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存储容量：≥256G 原装 Micro SD 卡，支持 FAT32 文件系统，Class10/U1 高速读写，适配 7×24 小时循环录像。</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存储支持：最大支持≥512G 本地存储，支持循环覆盖、定时录像、移动侦测录像、报警录像多种模式。</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存储安全：支持录像水印、加密存储，防止视频篡改，保障数据真实性。</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网络连接：支持 Wi</w:t>
            </w:r>
            <w:r>
              <w:rPr>
                <w:rStyle w:val="27"/>
                <w:rFonts w:hint="eastAsia" w:ascii="仿宋" w:hAnsi="仿宋" w:eastAsia="仿宋" w:cs="仿宋"/>
                <w:sz w:val="28"/>
                <w:szCs w:val="28"/>
                <w:lang w:val="en-US" w:eastAsia="zh-CN" w:bidi="ar"/>
              </w:rPr>
              <w:noBreakHyphen/>
            </w:r>
            <w:r>
              <w:rPr>
                <w:rStyle w:val="26"/>
                <w:rFonts w:hint="eastAsia" w:ascii="仿宋" w:hAnsi="仿宋" w:eastAsia="仿宋" w:cs="仿宋"/>
                <w:sz w:val="28"/>
                <w:szCs w:val="28"/>
                <w:lang w:val="en-US" w:eastAsia="zh-CN" w:bidi="ar"/>
              </w:rPr>
              <w:t>Fi（IEEE802.11b/g/n，2.4GHz）+ 有线网口双接入，网络自适应，断网续录。</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智能检测：支持人形 / 移动侦测，精准识别目标，减少误报，触发报警联动。</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报警功能：支持声光报警（声音 + 闪光）、手机 APP 推送、自定义语音告警，异常情况实时提醒。</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双向语音：内置麦克风与扬声器，支持双向语音对讲，远程沟通无障碍。</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远程访问：支持 APP 远程实时查看、录像回放、设备控制，多终端（手机 / 电脑）</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39781AF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5FD54B6F">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5</w:t>
            </w:r>
          </w:p>
        </w:tc>
      </w:tr>
      <w:tr w14:paraId="7EDF1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105C7C3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720BA6C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POE中继器</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521CF39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设备功能模式：标准一分二POE分离结构，1路RJ45 POE输入、2路RJ45千兆POE输出，单网线实现双摄像头数据传输+供电，无需额外电源、无需重新布线。</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传输带宽：支持10/100/1000Mbps千兆自适应，全线速转发，不降级、不缩水，支持200万/400万高清大码流视频同时传输，无卡顿、无丢包。</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POE兼容标准：完全兼容IEEE802.3af/at国标POE供电协议，支持标准A/B双模式供电，兼容大华、海康、萤石等全系国标POE摄像机。</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输入电压范围：支持标准POE 44V～57V宽幅电压输入，适配所有品牌标准POE交换机供电输出，电压波动环境下工作稳定。</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单路输出功率：每路输出稳定≥15W，整机最大输出功率≥30W，可同时稳定驱动两台星光级、带音频、带报警功能的高清摄像头。</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线路隔离设计：双路输出采用独立电路隔离设计，两路设备互不干扰，单台摄像机故障、短路、断电不影响另一台正常工作。</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66CBB52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29920C25">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10</w:t>
            </w:r>
          </w:p>
        </w:tc>
      </w:tr>
      <w:tr w14:paraId="0F248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1D6F6C85">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9</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5D847FC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2T监控硬盘</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4547AA18">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容量规格：额定容量2TB，3.5英寸，监控级专用硬盘，专为安防7×24小时录像场景设计，禁止家用级、翻新、拆机盘。</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接口规格：SATA 6Gb/s高速接口，向下兼容SATA2.0，保证高清视频持续稳定写入。</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缓存：≥64MB大容量缓存，提升多路视频并发写入能力，减少录像丢帧、卡顿。</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额定工作负载：年负载量≥180TB/Year，满足高频次、长时间监控录像读写需求，优于普通家用硬盘。</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并发录像能力：单盘可稳定支持≥32路1080P高清视频并发录制，适配主流NVR监控存储架构。</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抗震降噪设计：具备多盘位抗共振、抗震动能力，适配机柜密集部署环境，适合机房长期运行。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兼容性：兼容主流品牌NVR、DVR录像机及Linux/Windows系统，支持循环录像、移动侦测录像等常规监控功能。</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质保要求：全新原装正品，原厂三年及以上全国联保。</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3884CE7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327B2D30">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3</w:t>
            </w:r>
          </w:p>
        </w:tc>
      </w:tr>
      <w:tr w14:paraId="0A17E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2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45773E0D">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10</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2397ED4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4T监控硬盘</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75A81ACF">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容量规格：额定容量4TB，3.5英寸，监控级专用硬盘，专为安防7×24小时录像场景设计，禁止家用级、翻新、拆机盘。</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接口规格：SATA 6Gb/s高速接口，向下兼容SATA2.0，保证高清视频持续稳定写入。</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缓存：≥64MB大容量缓存，提升多路视频并发写入能力，减少录像丢帧、卡顿。</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工作模式：支持7×24小时不间断连续工作，具备监控级全天候录像负载能力，可长期稳定运行。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额定工作负载：年负载量≥180TB/Year，满足高频次、长时间监控录像读写需求，优于普通家用硬盘。</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读写性能：持续读写速度≥180MB/s，支持多路高清1080P/4MP/5MP视频码流同时录制，无录像断层、卡顿。</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并发录像能力：单盘可稳定支持≥48路1080P高清视频并发录制，适配主流NVR监控存储架构。</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稳定性技术：自带流媒体优化技术、智能纠错、坏道自动隔离机制，有效降低视频录像异常、文件损坏概率。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抗震降噪设计：具备多盘位抗共振、抗震动能力，适配机柜密集部署环境，适合机房长期运行。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断电保护：支持异常断电数据保护，减少意外断电导致的录像文件损坏、数据丢失。</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兼容性：兼容主流品牌NVR、DVR录像机及Linux/Windows系统，支持循环质保要求：全新原装正品，原厂三年及以上全国联保。</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00CD77B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0D7B345B">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2</w:t>
            </w:r>
          </w:p>
        </w:tc>
      </w:tr>
      <w:tr w14:paraId="4F1D6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1"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033A3DEB">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11</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6FB55B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8T监控硬盘</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0E2FE86A">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容量规格：额定容量8TB，3.5英寸，监控级专用硬盘，专为安防7×24小时录像场景设计，禁止家用级、翻新、拆机盘。</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接口规格：SATA 6Gb/s高速接口，向下兼容SATA2.0，保证高清视频持续稳定写入。</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缓存：≥64MB大容量缓存，提升多路视频并发写入能力，减少录像丢帧、卡顿。</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工作模式：支持7×24小时不间断连续工作，具备监控级全天候录像负载能力，可长期稳定运行。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额定工作负载：年负载量≥180TB/Year，满足高频次、长时间监控录像读写需求，优于普通家用硬盘。</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读写性能：持续读写速度≥180MB/s，支持多路高清1080P/4MP/5MP视频码流同时录制，无录像断层、卡顿。</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并发录像能力：单盘可稳定支持≥64路1080P高清视频并发录制，适配主流NVR监控存储架构。</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稳定性技术：自带流媒体优化技术、智能纠错、坏道自动隔离机制，有效降低视频录像异常、文件损坏概率。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抗震降噪设计：具备多盘位抗共振、抗震动能力，适配机柜密集部署环境，适合机房长期运行。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断电保护：支持异常断电数据保护，减少意外断电导致的录像文件损坏、数据丢失。</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兼容性：兼容主流品牌NVR、DVR录像机及Linux/Windows系统，支持循环质保要求：全新原装正品，原厂三年及以上全国联保。</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66CE026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455D655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6D005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8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7820FD33">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12</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273FE0C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14T监控硬盘</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172CD3E2">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容量规格：额定容量14TB，3.5英寸，监控级专用硬盘，专为安防7×24小时录像场景设计，禁止家用级、翻新、拆机盘。</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接口规格：SATA 6Gb/s高速接口，向下兼容SATA2.0，保证高清视频持续稳定写入。</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缓存：≥256MB大容量缓存，提升多路视频并发写入能力，减少录像丢帧、卡顿。</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工作模式：支持7×24小时不间断连续工作，具备监控级全天候录像负载能力，可长期稳定运行。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额定工作负载：年负载量≥550TB/Year，满足高频次、长时间监控录像读写需求，优于普通家用硬盘。</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6、读写性能：持续读写速度≥260MB/s，支持多路高清1080P/4MP/5MP/4K视频码流同时录制，无录像断层、卡顿。</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并发录像能力：单盘可稳定支持≥128路1080P高清视频并发录制，适配主流NVR监控存储架构。</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稳定性技术：自带流媒体优化技术、智能纠错、坏道自动隔离机制，有效降低视频录像异常、文件损坏概率。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抗震降噪设计：具备多盘位抗共振、抗震动能力，适配机柜密集部署环境，适合机房长期运行。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断电保护：支持异常断电数据保护，减少意外断电导致的录像文件损坏、数据丢失。</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兼容性：兼容主流品牌NVR、DVR录像机及Linux/Windows系统，支持循环录像、移动侦测录像等常规监控功能。</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质保要求：全新原装正品，原厂三年及以上全国联保。</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01A481C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52E2E764">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2</w:t>
            </w:r>
          </w:p>
        </w:tc>
      </w:tr>
      <w:tr w14:paraId="56A55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8"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31924ECE">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13</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4F5567D3">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8路监控硬盘录像机</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6B12DE9C">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设备规格：商用级8路网络视频录像机（NVR），整机搭载双盘位、双千兆网口设计，专为多路高清监控存储、网络隔离组网场景设计，设备为全新原装正品，非翻新、改装设备。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接入路数与分辨率：最大支持8路IP摄像头接入，支持4K、5MP、4MP、1080P等主流高清分辨率视频接入、录制、回放，适配市面主流安防监控摄像头。</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硬盘存储：内置2个标准3.5英寸SATA硬盘盘位，支持2TB/4TB/8TB/14TB等主流监控硬盘接入，支持单盘不小于14TB大容量存储，支持双盘数据备份、循环录像存储机制。</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录像功能：支持全天候定时录像、移动侦测录像、事件报警录像、手动录像，支持录像分段存储、循环覆盖录像，可自定义录像画质、码流、帧率，录像文件完整无断层。</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智能功能：支持异常报警联动，支持硬盘异常、网络断开、视频遮挡、设备离线等故障报警提示，支持手机、电脑远程预览、回放、备份、设备管理，运维便捷。</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设备稳定性：支持7×24小时不间断开机运行，具备断电重启自动恢复录像、智能纠错功能，低功耗、低发热，适配机房、机柜长期密闭运行场景。</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质保要求：全新原装正品，原厂三年及以上全国联保，提供官方售后技术支持。</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17C23D5C">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台</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611E5D48">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2</w:t>
            </w:r>
          </w:p>
        </w:tc>
      </w:tr>
      <w:tr w14:paraId="631AA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26D63ADD">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14</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755AF420">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16路监控硬盘录像机</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0C4BFA4C">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设备规格：商用级16路网络视频录像机（NVR），整机搭载四盘位、双千兆网口设计，专为多路高清监控存储、网络隔离组网场景设计，设备为全新原装正品，非翻新、改装设备。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接入路数与分辨率：最大支持16路IP摄像头接入，支持4K、5MP、4MP、1080P等主流高清分辨率视频接入、录制、回放，适配市面主流安防监控摄像头。</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网口性能：配备双独立千兆RJ45网口，支持双网口容错、网络负载均衡、内外网隔离功能，可分别对接前端监控局域网与后端办公外网，避免网络冲突，保障监控网络独立稳定运行。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硬盘存储：内置4个标准3.5英寸SATA硬盘盘位，支持2TB/4TB/8TB/14TB等主流监控硬盘接入，支持单盘不小于14TB大容量存储，支持双盘数据备份、循环录像存储机制。</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编码解码能力：支持H.265、H.264智能视频编码解码，兼容新一代高清压缩格式，同等画质下节省50%存储空间，降低长期存储成本，适配高清大码流设备稳定解码。</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录像功能：支持全天候定时录像、移动侦测录像、事件报警录像、手动录像，支持录像分段存储、循环覆盖录像，可自定义录像画质、码流、帧率，录像文件完整无断层。</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预览与回放：支持多路实时高清预览，支持单路、多路同步回放，支持录像快放、慢放、逐帧播放、精准时间检索，回放画面清晰流畅，无卡顿、花屏、丢帧现象。</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智能功能：支持异常报警联动，支持硬盘异常、网络断开、视频遮挡、设备离线等故障报警提示，支持手机、电脑远程预览、回放、备份、设备管理，运维便捷。</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兼容性：兼容主流品牌网络摄像头、监控终端，支持标准ONVIF协议，即插即用，适配各类安防监控组网系统，适配Windows、Linux主流操作系统。</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设备稳定性：支持7×24小时不间断开机运行，具备断电重启自动恢复录像、智能纠错功能，低功耗、低发热，适配机房、机柜长期密闭运行场接口拓展：标配USB、HDMI、VGA常规接口，支持高清视频输出、外接备质保要求：全新原装正品，原厂三年及以上全国联保，提供官方售后技术支持。</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33913E8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台</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27E6FE61">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16143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79DF419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15</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39EEA53A">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32路监控硬盘录像机</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5767D7DB">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设备规格：商用级32路网络视频录像机（NVR），整机搭载八盘位、双千兆网口设计，专为多路高清监控存储、网络隔离组网场景设计，设备为全新原装正品，非翻新、改装设备。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接入路数与分辨率：最大支持32路IP摄像头接入，支持4K、5MP、4MP、1080P等主流高清分辨率视频接入、录制、回放，适配市面主流安防监控摄像头。</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网口性能：配备双独立千兆RJ45网口，支持双网口容错、网络负载均衡、内外网隔离功能，可分别对接前端监控局域网与后端办公外网，避免网络冲突，保障监控网络独立稳定运行。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硬盘存储：内置8个标准3.5英寸SATA硬盘盘位，支持2TB/4TB/8TB/14TB等主流监控硬盘接入，支持单盘不小于14TB大容量存储，支持硬盘热插拔，支持双盘数据备份、循环录像存储机制。</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编码解码能力：支持H.265、H.264智能视频编码解码，兼容新一代高清压缩格式，同等画质下节省50%存储空间，降低长期存储成本，适配高清大码流设备稳定解码。</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录像功能：支持全天候定时录像、移动侦测录像、事件报警录像、手动录像，支持录像分段存储、循环覆盖录像，可自定义录像画质、码流、帧率，录像文件完整无断层。</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预览与回放：支持多路实时高清预览，支持单路、多路同步回放，支持录像快放、慢放、逐帧播放、精准时间检索，回放画面清晰流畅，无卡顿、花屏、丢帧现象。</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智能功能：支持异常报警联动，支持硬盘异常、网络断开、视频遮挡、设备离线等故障报警提示，支持手机、电脑远程预览、回放、备份、设备管理，运维便捷。</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兼容性：兼容主流品牌网络摄像头、监控终端，支持标准ONVIF协议，即插即用，适配各类安防监控组网系统，适配Windows、Linux主流操作系统。</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设备稳定性：支持7×24小时不间断开机运行，具备断电重启自动恢复录像、智能纠错功能，低功耗、低发热，适配机房、机柜长期密闭运行场接口拓展：标配USB、HDMI、VGA常规接口，支持高清视频输出、外接备份设备，满足本地显示、录像备份、设备调试等日常使用需求。</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质保要求：全新原装正品，原厂三年及以上全国联保，提供官方售后技术支持。</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68E12EB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台</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5E6478D1">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39533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8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5E925A64">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16</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1521A39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64路监控硬盘录像机</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5C9174C4">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设备规格：商用级64路网络视频录像机（NVR），整机搭载十六盘位、双千兆网口设计，专为多路高清监控存储、网络隔离组网场景设计，设备为全新原装正品，非翻新、改装设备。</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接入路数与分辨率：最大支持32路IP摄像头接入，支持4K、5MP、4MP、1080P等主流高清分辨率视频接入、录制、回放，适配市面主流安防监控摄像头。</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网口性能：配备双独立千兆RJ45网口，支持双网口容错、网络负载均衡、内外网隔离功能，可分别对接前端监控局域网与后端办公外网，避免网络冲突，保障监控网络独立稳定运行。</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硬盘存储：内置16个标准3.5英寸SATA硬盘盘位，支持2TB/4TB/8TB/14TB等主流监控硬盘接入，支持单盘不小于14TB大容量存储，支持硬盘热插拔，支持双盘数据备份、循环录像存储机制。</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编码解码能力：支持H.265、H.264智能视频编码解码，兼容新一代高清压缩格式，同等画质下节省50%存储空间，降低长期存储成本，适配高清大码流设备稳定解码。</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录像功能：支持全天候定时录像、移动侦测录像、事件报警录像、手动录像，支持录像分段存储、循环覆盖录像，可自定义录像画质、码流、帧率，录像文件完整无断层。</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预览与回放：支持多路实时高清预览，支持单路、多路同步回放，支持录像快放、慢放、逐帧播放、精准时间检索，回放画面清晰流畅，无卡顿、花屏、丢帧现象。</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智能功能：支持异常报警联动，支持硬盘异常、网络断开、视频遮挡、设备离线等故障报警提示，支持手机、电脑远程预览、回放、备份、设备管理，运维便捷。</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兼容性：兼容主流品牌网络摄像头、监控终端，支持标准ONVIF协议，即插即用，适配各类安防监控组网系统，适配Windows、Linux主流操作系统。</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设备稳定性：支持7×24小时不间断开机运行，具备断电重启自动恢复录像、智能纠错功能，低功耗、低发热，适配机房、机柜长期密闭运行场接口拓展：标配USB、HDMI、VGA常规接口，支持高清视频输出、外接备份设备，满足本地显示、录像备份、设备调试等日常使用需求。</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质保要求：全新原装正品，原厂三年及以上全国联保，提供官方售后技术支持。</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009D3C9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台</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33B19A0B">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490C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9"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2704527A">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17</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66347C0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8芯光电复合缆</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5924C172">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Style w:val="26"/>
                <w:rFonts w:hint="eastAsia" w:ascii="仿宋" w:hAnsi="仿宋" w:eastAsia="仿宋" w:cs="仿宋"/>
                <w:sz w:val="28"/>
                <w:szCs w:val="28"/>
                <w:lang w:val="en-US" w:eastAsia="zh-CN" w:bidi="ar"/>
              </w:rPr>
              <w:t>产品规格：采用8芯G.652D单模光纤+2芯纯铜电源线一体化复合结构，单芯电源线导体截面积≥2.5mm</w:t>
            </w:r>
            <w:r>
              <w:rPr>
                <w:rStyle w:val="28"/>
                <w:rFonts w:hint="eastAsia" w:ascii="仿宋" w:hAnsi="仿宋" w:eastAsia="仿宋" w:cs="仿宋"/>
                <w:sz w:val="28"/>
                <w:szCs w:val="28"/>
                <w:lang w:val="en-US" w:eastAsia="zh-CN" w:bidi="ar"/>
              </w:rPr>
              <w:t>²</w:t>
            </w:r>
            <w:r>
              <w:rPr>
                <w:rStyle w:val="26"/>
                <w:rFonts w:hint="eastAsia" w:ascii="仿宋" w:hAnsi="仿宋" w:eastAsia="仿宋" w:cs="仿宋"/>
                <w:sz w:val="28"/>
                <w:szCs w:val="28"/>
                <w:lang w:val="en-US" w:eastAsia="zh-CN" w:bidi="ar"/>
              </w:rPr>
              <w:t>，室外专用线缆，集数据传输、设备供电于一体，适配室外监控、无线AP等安防设备组网布线。</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材质与防护性能：外护套采用高密度PE耐候材质，具备防水、防晒、抗紫外、防腐蚀、抗老化特性，适配架空、地埋、穿管等多种室外施工场景，耐高低温，可长期7×24小时户外稳定运行，机械强度高、不易断芯破皮。</w:t>
            </w:r>
            <w:r>
              <w:rPr>
                <w:rStyle w:val="26"/>
                <w:rFonts w:hint="eastAsia" w:ascii="仿宋" w:hAnsi="仿宋" w:eastAsia="仿宋" w:cs="仿宋"/>
                <w:sz w:val="28"/>
                <w:szCs w:val="28"/>
                <w:lang w:val="en-US" w:eastAsia="zh-CN" w:bidi="ar"/>
              </w:rPr>
              <w:br w:type="textWrapping"/>
            </w:r>
            <w:r>
              <w:rPr>
                <w:rStyle w:val="26"/>
                <w:rFonts w:hint="eastAsia" w:ascii="仿宋" w:hAnsi="仿宋" w:eastAsia="仿宋" w:cs="仿宋"/>
                <w:sz w:val="28"/>
                <w:szCs w:val="28"/>
                <w:lang w:val="en-US" w:eastAsia="zh-CN" w:bidi="ar"/>
              </w:rPr>
              <w:t>标准与质保：完全符合YD/T 5242-2018、YD/T 1997.4-2022国家通信行业标准，全新国标正品无翻新。</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786A14C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米</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0E9C7B90">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100</w:t>
            </w:r>
          </w:p>
        </w:tc>
      </w:tr>
      <w:tr w14:paraId="112C2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3F3C81ED">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18</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7C7CE5B9">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24口交换机</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480C34EB">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端口规格：设备配备24个2.5G Base-T自适应RJ45电口，全端口支持10/100/1000/2500Mbps速率自适应，采用无复用、无缩水端口设计，支持2.5G线速无阻塞转发，满足多路高清监控大带宽并发传输需求。</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三层转发性能：为三层网管交换机，支持静态路由、RIP、OSPF等三层路由协议，支持VLAN划分、端口聚合、链路堆叠、QoS流量管控、风暴抑制功能；交换容量≥128Gbps，包转发率≥96Mpps，全线速转发无丢包、无广播风暴，多终端长期运行稳定。</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功能与质保标准：支持网管策略配置、端口镜像、环路检测、设备告警、远程运维管理，适配大中型安防组网、多网段划分、网络精细化管理场景；全新原装正品，无翻新无维修，原厂三年及以上全国联保，可提供官方核验及售后保障。</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31DCB0A1">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7007744B">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2</w:t>
            </w:r>
          </w:p>
        </w:tc>
      </w:tr>
      <w:tr w14:paraId="31951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5B682FEE">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19</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672C59B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监控管理服务器主板</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3D246F2F">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适配DH-7016S-D平台服务器</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7ED7399E">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309A939C">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347DE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1E61E0D9">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20</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6605C772">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EVS主板</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786F1043">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适配DH-EVS7048存储</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2BDE5528">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张</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440313F4">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17DE3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3DB3594B">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21</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341652C7">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解码器主板</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3D02E74F">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适配DH-NVS0904DH解码器</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03E0EE2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张</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3FD9061F">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6F791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06A3C2A9">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22</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28FEEC5B">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监控管理服务器电源</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6782C6A5">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适配DH-7016S-D平台服务器</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2B6F54D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7FC052B0">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0A040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57AA49F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23</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6D20F21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EVS电源</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2DCBED00">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适配DH-EVS7048存储</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5F62CC80">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3C5DA7E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123E5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32E07435">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24</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3E2CFD9B">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解码器电源</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6731B995">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适配DH-NVS0904DH解码器</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7D828B79">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59963E7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05A00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6A5FCF32">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25</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3D8B7CED">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4G紧急报警器</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28663BD2">
            <w:pPr>
              <w:keepNext w:val="0"/>
              <w:keepLines w:val="0"/>
              <w:widowControl/>
              <w:suppressLineNumbers w:val="0"/>
              <w:jc w:val="left"/>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 xml:space="preserve">通讯方式 NB-loT网络(中国电信)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设备定位 基站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报警方式 手动报警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安装方式 壁挂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名称更改 自定义编辑名称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通知方式 微信/短信/电话/云平台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工作电压 DC3V2节5号电池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待机电流 ≤5uA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报警电流 ≤50mA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工作温度 -30度至+50度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使用湿度 ≤80%(无凝结)</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1574075F">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7D85626E">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5</w:t>
            </w:r>
          </w:p>
        </w:tc>
      </w:tr>
      <w:tr w14:paraId="12E61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1"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68B4B826">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26</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3CAC4B2B">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4G红外人体感应器</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046141F5">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采用数字化电路芯片处理，性能稳定误报率极低</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温度补偿，自适应温度变化</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具有标准模式、省电模式可选</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具有高、中、低三级红外灵敏度可调                                                                                                                                                                                      通讯方式：NB-loT网络                                                                                                                                                                                                 拨号组数：5组电话号码/平台拨号（另充值）                                                                                                                                                                         联动功能：支持多机互联                                                                                                                                                                                                       控制方式：平台/微信                                                                                                                                                                                           设备名称：自由编辑</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发射距离：1-5公里（无线距离开阔地无干扰）</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 xml:space="preserve">探测距离：7-15米  探测角度：110°X 26°  待机电流：≤50μA </w:t>
            </w:r>
            <w:r>
              <w:rPr>
                <w:rFonts w:hint="eastAsia" w:ascii="仿宋" w:hAnsi="仿宋" w:eastAsia="仿宋" w:cs="仿宋"/>
                <w:i w:val="0"/>
                <w:iCs w:val="0"/>
                <w:color w:val="000000"/>
                <w:kern w:val="0"/>
                <w:sz w:val="28"/>
                <w:szCs w:val="28"/>
                <w:u w:val="none"/>
                <w:lang w:val="en-US" w:eastAsia="zh-CN" w:bidi="ar"/>
              </w:rPr>
              <w:br w:type="textWrapping"/>
            </w:r>
            <w:r>
              <w:rPr>
                <w:rFonts w:hint="eastAsia" w:ascii="仿宋" w:hAnsi="仿宋" w:eastAsia="仿宋" w:cs="仿宋"/>
                <w:i w:val="0"/>
                <w:iCs w:val="0"/>
                <w:color w:val="000000"/>
                <w:kern w:val="0"/>
                <w:sz w:val="28"/>
                <w:szCs w:val="28"/>
                <w:u w:val="none"/>
                <w:lang w:val="en-US" w:eastAsia="zh-CN" w:bidi="ar"/>
              </w:rPr>
              <w:t>2节5号碱性电池3V供电，纯待机1年以上，可以随意位置安装，低功耗</w:t>
            </w:r>
          </w:p>
          <w:p w14:paraId="1785A948">
            <w:pPr>
              <w:keepNext w:val="0"/>
              <w:keepLines w:val="0"/>
              <w:widowControl/>
              <w:suppressLineNumbers w:val="0"/>
              <w:jc w:val="left"/>
              <w:textAlignment w:val="center"/>
              <w:rPr>
                <w:rFonts w:hint="eastAsia" w:ascii="仿宋" w:hAnsi="仿宋" w:eastAsia="仿宋" w:cs="仿宋"/>
                <w:i w:val="0"/>
                <w:iCs w:val="0"/>
                <w:color w:val="000000"/>
                <w:kern w:val="0"/>
                <w:sz w:val="28"/>
                <w:szCs w:val="28"/>
                <w:u w:val="none"/>
                <w:lang w:val="en-US" w:eastAsia="zh-CN" w:bidi="ar"/>
              </w:rPr>
            </w:pPr>
          </w:p>
        </w:tc>
        <w:tc>
          <w:tcPr>
            <w:tcW w:w="996" w:type="pct"/>
            <w:tcBorders>
              <w:top w:val="nil"/>
              <w:left w:val="single" w:color="000000" w:sz="8" w:space="0"/>
              <w:bottom w:val="single" w:color="000000" w:sz="8" w:space="0"/>
              <w:right w:val="single" w:color="000000" w:sz="8" w:space="0"/>
            </w:tcBorders>
            <w:shd w:val="clear" w:color="auto" w:fill="auto"/>
            <w:vAlign w:val="center"/>
          </w:tcPr>
          <w:p w14:paraId="3353AC38">
            <w:pPr>
              <w:keepNext w:val="0"/>
              <w:keepLines w:val="0"/>
              <w:widowControl/>
              <w:suppressLineNumbers w:val="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个</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4C7C06CA">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10</w:t>
            </w:r>
          </w:p>
        </w:tc>
      </w:tr>
      <w:tr w14:paraId="13AD7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0" w:hRule="atLeast"/>
        </w:trPr>
        <w:tc>
          <w:tcPr>
            <w:tcW w:w="398" w:type="pct"/>
            <w:tcBorders>
              <w:top w:val="nil"/>
              <w:left w:val="single" w:color="000000" w:sz="8" w:space="0"/>
              <w:bottom w:val="single" w:color="000000" w:sz="8" w:space="0"/>
              <w:right w:val="single" w:color="000000" w:sz="8" w:space="0"/>
            </w:tcBorders>
            <w:shd w:val="clear" w:color="auto" w:fill="auto"/>
            <w:vAlign w:val="center"/>
          </w:tcPr>
          <w:p w14:paraId="7B3D9467">
            <w:pPr>
              <w:keepNext w:val="0"/>
              <w:keepLines w:val="0"/>
              <w:widowControl/>
              <w:suppressLineNumbers w:val="0"/>
              <w:jc w:val="center"/>
              <w:textAlignment w:val="center"/>
              <w:rPr>
                <w:rFonts w:hint="eastAsia"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27</w:t>
            </w:r>
          </w:p>
        </w:tc>
        <w:tc>
          <w:tcPr>
            <w:tcW w:w="642" w:type="pct"/>
            <w:tcBorders>
              <w:top w:val="nil"/>
              <w:left w:val="single" w:color="000000" w:sz="8" w:space="0"/>
              <w:bottom w:val="single" w:color="000000" w:sz="8" w:space="0"/>
              <w:right w:val="single" w:color="000000" w:sz="8" w:space="0"/>
            </w:tcBorders>
            <w:shd w:val="clear" w:color="auto" w:fill="auto"/>
            <w:vAlign w:val="center"/>
          </w:tcPr>
          <w:p w14:paraId="35581137">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bCs/>
                <w:color w:val="auto"/>
                <w:kern w:val="2"/>
                <w:sz w:val="28"/>
                <w:szCs w:val="28"/>
                <w:lang w:val="en-US" w:eastAsia="zh-CN" w:bidi="ar-SA"/>
              </w:rPr>
              <w:t>安防系统运维服务</w:t>
            </w:r>
          </w:p>
        </w:tc>
        <w:tc>
          <w:tcPr>
            <w:tcW w:w="2147" w:type="pct"/>
            <w:tcBorders>
              <w:top w:val="nil"/>
              <w:left w:val="single" w:color="000000" w:sz="8" w:space="0"/>
              <w:bottom w:val="single" w:color="000000" w:sz="8" w:space="0"/>
              <w:right w:val="single" w:color="000000" w:sz="8" w:space="0"/>
            </w:tcBorders>
            <w:shd w:val="clear" w:color="auto" w:fill="auto"/>
            <w:vAlign w:val="center"/>
          </w:tcPr>
          <w:p w14:paraId="6C1DF3CA">
            <w:pPr>
              <w:keepNext w:val="0"/>
              <w:keepLines w:val="0"/>
              <w:widowControl/>
              <w:suppressLineNumbers w:val="0"/>
              <w:jc w:val="left"/>
              <w:textAlignment w:val="center"/>
              <w:rPr>
                <w:rFonts w:hint="default" w:ascii="仿宋" w:hAnsi="仿宋" w:eastAsia="仿宋" w:cs="仿宋"/>
                <w:i w:val="0"/>
                <w:iCs w:val="0"/>
                <w:color w:val="000000"/>
                <w:sz w:val="28"/>
                <w:szCs w:val="28"/>
                <w:u w:val="none"/>
                <w:lang w:val="en-US"/>
              </w:rPr>
            </w:pPr>
            <w:r>
              <w:rPr>
                <w:rFonts w:hint="eastAsia" w:ascii="仿宋" w:hAnsi="仿宋" w:eastAsia="仿宋" w:cs="仿宋"/>
                <w:i w:val="0"/>
                <w:iCs w:val="0"/>
                <w:color w:val="000000"/>
                <w:kern w:val="0"/>
                <w:sz w:val="28"/>
                <w:szCs w:val="28"/>
                <w:u w:val="none"/>
                <w:lang w:val="en-US" w:eastAsia="zh-CN" w:bidi="ar"/>
              </w:rPr>
              <w:t>见上文采购需求（每个月不低于两次，做好维保记录备查）</w:t>
            </w:r>
          </w:p>
        </w:tc>
        <w:tc>
          <w:tcPr>
            <w:tcW w:w="996" w:type="pct"/>
            <w:tcBorders>
              <w:top w:val="nil"/>
              <w:left w:val="single" w:color="000000" w:sz="8" w:space="0"/>
              <w:bottom w:val="single" w:color="000000" w:sz="8" w:space="0"/>
              <w:right w:val="single" w:color="000000" w:sz="8" w:space="0"/>
            </w:tcBorders>
            <w:shd w:val="clear" w:color="auto" w:fill="auto"/>
            <w:vAlign w:val="center"/>
          </w:tcPr>
          <w:p w14:paraId="5B7B6FC4">
            <w:pPr>
              <w:keepNext w:val="0"/>
              <w:keepLines w:val="0"/>
              <w:widowControl/>
              <w:suppressLineNumbers w:val="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年</w:t>
            </w:r>
          </w:p>
        </w:tc>
        <w:tc>
          <w:tcPr>
            <w:tcW w:w="1392" w:type="dxa"/>
            <w:tcBorders>
              <w:top w:val="nil"/>
              <w:left w:val="single" w:color="000000" w:sz="8" w:space="0"/>
              <w:bottom w:val="single" w:color="000000" w:sz="8" w:space="0"/>
              <w:right w:val="single" w:color="000000" w:sz="8" w:space="0"/>
            </w:tcBorders>
            <w:shd w:val="clear" w:color="auto" w:fill="auto"/>
            <w:noWrap/>
            <w:vAlign w:val="center"/>
          </w:tcPr>
          <w:p w14:paraId="35B598B1">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lang w:val="en-US" w:eastAsia="zh-CN"/>
              </w:rPr>
            </w:pPr>
            <w:r>
              <w:rPr>
                <w:rFonts w:hint="eastAsia" w:ascii="仿宋" w:hAnsi="仿宋" w:eastAsia="仿宋" w:cs="仿宋"/>
                <w:i w:val="0"/>
                <w:iCs w:val="0"/>
                <w:color w:val="000000"/>
                <w:kern w:val="0"/>
                <w:sz w:val="28"/>
                <w:szCs w:val="28"/>
                <w:u w:val="none"/>
                <w:lang w:val="en-US" w:eastAsia="zh-CN" w:bidi="ar"/>
              </w:rPr>
              <w:t>1</w:t>
            </w:r>
          </w:p>
        </w:tc>
      </w:tr>
      <w:tr w14:paraId="60DEC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5"/>
            <w:tcBorders>
              <w:top w:val="single" w:color="000000" w:sz="8" w:space="0"/>
              <w:left w:val="single" w:color="000000" w:sz="8" w:space="0"/>
              <w:bottom w:val="single" w:color="000000" w:sz="8" w:space="0"/>
              <w:right w:val="single" w:color="000000" w:sz="8" w:space="0"/>
            </w:tcBorders>
            <w:shd w:val="clear" w:color="auto" w:fill="auto"/>
            <w:vAlign w:val="center"/>
          </w:tcPr>
          <w:p w14:paraId="180A69F0">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（★所有新增、更换设备需与现场原有存量安防系统完全适配，支持原有平台私有协议兼容接入，确保新旧设备互联互通、统一管理、系统无冲突，保证整体系统完整运行。）</w:t>
            </w:r>
          </w:p>
        </w:tc>
      </w:tr>
    </w:tbl>
    <w:p w14:paraId="7A798485">
      <w:pPr>
        <w:pStyle w:val="6"/>
        <w:rPr>
          <w:rFonts w:hint="eastAsia" w:ascii="仿宋" w:hAnsi="仿宋" w:eastAsia="仿宋" w:cs="仿宋"/>
          <w:b/>
          <w:bCs w:val="0"/>
          <w:color w:val="auto"/>
          <w:sz w:val="32"/>
          <w:szCs w:val="32"/>
          <w:highlight w:val="none"/>
          <w:lang w:val="en-US" w:eastAsia="zh-CN"/>
        </w:rPr>
      </w:pPr>
      <w:r>
        <w:rPr>
          <w:rFonts w:hint="eastAsia" w:ascii="黑体" w:hAnsi="黑体" w:eastAsia="黑体" w:cs="黑体"/>
          <w:sz w:val="32"/>
          <w:szCs w:val="32"/>
        </w:rPr>
        <w:t>★三、</w:t>
      </w:r>
      <w:r>
        <w:rPr>
          <w:rFonts w:hint="eastAsia" w:ascii="仿宋" w:hAnsi="仿宋" w:eastAsia="仿宋" w:cs="仿宋"/>
          <w:b/>
          <w:bCs w:val="0"/>
          <w:color w:val="auto"/>
          <w:sz w:val="32"/>
          <w:szCs w:val="32"/>
          <w:highlight w:val="none"/>
          <w:lang w:val="en-US" w:eastAsia="zh-CN"/>
        </w:rPr>
        <w:t>商务要求</w:t>
      </w:r>
    </w:p>
    <w:p w14:paraId="0FD98C06">
      <w:pPr>
        <w:pStyle w:val="3"/>
        <w:keepNext w:val="0"/>
        <w:keepLines w:val="0"/>
        <w:pageBreakBefore w:val="0"/>
        <w:kinsoku/>
        <w:wordWrap/>
        <w:overflowPunct/>
        <w:topLinePunct w:val="0"/>
        <w:autoSpaceDE/>
        <w:autoSpaceDN/>
        <w:bidi w:val="0"/>
        <w:spacing w:line="360" w:lineRule="auto"/>
        <w:ind w:firstLine="560" w:firstLineChars="200"/>
        <w:textAlignment w:val="auto"/>
        <w:rPr>
          <w:rFonts w:ascii="仿宋" w:hAnsi="仿宋" w:eastAsia="仿宋" w:cs="宋体"/>
          <w:bCs/>
          <w:color w:val="auto"/>
          <w:sz w:val="28"/>
          <w:szCs w:val="28"/>
        </w:rPr>
      </w:pPr>
      <w:r>
        <w:rPr>
          <w:rFonts w:hint="eastAsia" w:ascii="仿宋" w:hAnsi="仿宋" w:eastAsia="仿宋" w:cs="宋体"/>
          <w:bCs/>
          <w:color w:val="auto"/>
          <w:sz w:val="28"/>
          <w:szCs w:val="28"/>
          <w:lang w:val="en-US" w:eastAsia="zh-CN"/>
        </w:rPr>
        <w:t>1.</w:t>
      </w:r>
      <w:r>
        <w:rPr>
          <w:rFonts w:hint="eastAsia" w:ascii="仿宋" w:hAnsi="仿宋" w:eastAsia="仿宋" w:cs="宋体"/>
          <w:bCs/>
          <w:color w:val="auto"/>
          <w:sz w:val="28"/>
          <w:szCs w:val="28"/>
        </w:rPr>
        <w:t>服务时间：</w:t>
      </w:r>
    </w:p>
    <w:p w14:paraId="27DD7A27">
      <w:pPr>
        <w:widowControl/>
        <w:spacing w:after="0" w:line="360" w:lineRule="auto"/>
        <w:ind w:firstLine="560" w:firstLineChars="200"/>
        <w:rPr>
          <w:rFonts w:hint="eastAsia" w:ascii="仿宋" w:hAnsi="仿宋" w:eastAsia="仿宋" w:cs="宋体"/>
          <w:kern w:val="0"/>
          <w:sz w:val="28"/>
          <w:szCs w:val="28"/>
          <w:shd w:val="clear" w:color="auto" w:fill="FFFFFF"/>
        </w:rPr>
      </w:pPr>
      <w:r>
        <w:rPr>
          <w:rFonts w:hint="eastAsia" w:ascii="仿宋" w:hAnsi="仿宋" w:eastAsia="仿宋" w:cs="宋体"/>
          <w:kern w:val="0"/>
          <w:sz w:val="28"/>
          <w:szCs w:val="28"/>
          <w:shd w:val="clear" w:color="auto" w:fill="FFFFFF"/>
        </w:rPr>
        <w:t>(1)服务时间为</w:t>
      </w:r>
      <w:r>
        <w:rPr>
          <w:rFonts w:hint="eastAsia" w:ascii="仿宋" w:hAnsi="仿宋" w:eastAsia="仿宋" w:cs="宋体"/>
          <w:kern w:val="0"/>
          <w:sz w:val="28"/>
          <w:szCs w:val="28"/>
          <w:shd w:val="clear" w:color="auto" w:fill="FFFFFF"/>
          <w:lang w:val="en-US" w:eastAsia="zh-CN"/>
        </w:rPr>
        <w:t>3</w:t>
      </w:r>
      <w:r>
        <w:rPr>
          <w:rFonts w:hint="eastAsia" w:ascii="仿宋" w:hAnsi="仿宋" w:eastAsia="仿宋" w:cs="宋体"/>
          <w:kern w:val="0"/>
          <w:sz w:val="28"/>
          <w:szCs w:val="28"/>
          <w:shd w:val="clear" w:color="auto" w:fill="FFFFFF"/>
        </w:rPr>
        <w:t>年，合同一年一签；</w:t>
      </w:r>
    </w:p>
    <w:p w14:paraId="40C6941F">
      <w:pPr>
        <w:widowControl/>
        <w:spacing w:after="0" w:line="360" w:lineRule="auto"/>
        <w:ind w:firstLine="560" w:firstLineChars="200"/>
        <w:rPr>
          <w:rFonts w:hint="eastAsia" w:ascii="仿宋" w:hAnsi="仿宋" w:eastAsia="仿宋" w:cs="宋体"/>
          <w:kern w:val="0"/>
          <w:sz w:val="28"/>
          <w:szCs w:val="28"/>
          <w:shd w:val="clear" w:color="auto" w:fill="FFFFFF"/>
        </w:rPr>
      </w:pPr>
      <w:r>
        <w:rPr>
          <w:rFonts w:hint="eastAsia" w:ascii="仿宋" w:hAnsi="仿宋" w:eastAsia="仿宋" w:cs="宋体"/>
          <w:kern w:val="0"/>
          <w:sz w:val="28"/>
          <w:szCs w:val="28"/>
          <w:shd w:val="clear" w:color="auto" w:fill="FFFFFF"/>
          <w:lang w:val="en-US" w:eastAsia="zh-CN"/>
        </w:rPr>
        <w:t>2</w:t>
      </w:r>
      <w:r>
        <w:rPr>
          <w:rFonts w:hint="eastAsia" w:ascii="仿宋" w:hAnsi="仿宋" w:eastAsia="仿宋" w:cs="宋体"/>
          <w:kern w:val="0"/>
          <w:sz w:val="28"/>
          <w:szCs w:val="28"/>
          <w:shd w:val="clear" w:color="auto" w:fill="FFFFFF"/>
        </w:rPr>
        <w:t>.合同支付约定：每笔结算费用付款前采购人应在收到中标人开具的正规发票的</w:t>
      </w:r>
      <w:r>
        <w:rPr>
          <w:rFonts w:hint="eastAsia" w:ascii="仿宋" w:hAnsi="仿宋" w:eastAsia="仿宋" w:cs="宋体"/>
          <w:kern w:val="0"/>
          <w:sz w:val="28"/>
          <w:szCs w:val="28"/>
          <w:shd w:val="clear" w:color="auto" w:fill="FFFFFF"/>
          <w:lang w:val="en-US" w:eastAsia="zh-CN"/>
        </w:rPr>
        <w:t>30</w:t>
      </w:r>
      <w:r>
        <w:rPr>
          <w:rFonts w:hint="eastAsia" w:ascii="仿宋" w:hAnsi="仿宋" w:eastAsia="仿宋" w:cs="宋体"/>
          <w:kern w:val="0"/>
          <w:sz w:val="28"/>
          <w:szCs w:val="28"/>
          <w:shd w:val="clear" w:color="auto" w:fill="FFFFFF"/>
        </w:rPr>
        <w:t>日内支付对应款项。设备零星安装</w:t>
      </w:r>
      <w:r>
        <w:rPr>
          <w:rFonts w:hint="eastAsia" w:ascii="仿宋" w:hAnsi="仿宋" w:eastAsia="仿宋" w:cs="宋体"/>
          <w:kern w:val="0"/>
          <w:sz w:val="28"/>
          <w:szCs w:val="28"/>
          <w:shd w:val="clear" w:color="auto" w:fill="FFFFFF"/>
          <w:lang w:val="en-US" w:eastAsia="zh-CN"/>
        </w:rPr>
        <w:t>按季度</w:t>
      </w:r>
      <w:r>
        <w:rPr>
          <w:rFonts w:hint="eastAsia" w:ascii="仿宋" w:hAnsi="仿宋" w:eastAsia="仿宋" w:cs="宋体"/>
          <w:kern w:val="0"/>
          <w:sz w:val="28"/>
          <w:szCs w:val="28"/>
          <w:shd w:val="clear" w:color="auto" w:fill="FFFFFF"/>
        </w:rPr>
        <w:t>结算，每次设备更换</w:t>
      </w:r>
      <w:r>
        <w:rPr>
          <w:rFonts w:hint="eastAsia" w:ascii="仿宋" w:hAnsi="仿宋" w:eastAsia="仿宋" w:cs="宋体"/>
          <w:kern w:val="0"/>
          <w:sz w:val="28"/>
          <w:szCs w:val="28"/>
          <w:shd w:val="clear" w:color="auto" w:fill="FFFFFF"/>
          <w:lang w:val="en-US" w:eastAsia="zh-CN"/>
        </w:rPr>
        <w:t>或新增</w:t>
      </w:r>
      <w:r>
        <w:rPr>
          <w:rFonts w:hint="eastAsia" w:ascii="仿宋" w:hAnsi="仿宋" w:eastAsia="仿宋" w:cs="宋体"/>
          <w:kern w:val="0"/>
          <w:sz w:val="28"/>
          <w:szCs w:val="28"/>
          <w:shd w:val="clear" w:color="auto" w:fill="FFFFFF"/>
        </w:rPr>
        <w:t>后经采购人验收合格，按实计算设备更换费用，当次安装完成验收合格后付款。</w:t>
      </w:r>
    </w:p>
    <w:p w14:paraId="485380F6">
      <w:pPr>
        <w:widowControl/>
        <w:spacing w:after="0" w:line="360" w:lineRule="auto"/>
        <w:ind w:firstLine="560" w:firstLineChars="200"/>
        <w:rPr>
          <w:rFonts w:hint="eastAsia" w:ascii="仿宋" w:hAnsi="仿宋" w:eastAsia="仿宋" w:cs="宋体"/>
          <w:kern w:val="0"/>
          <w:sz w:val="28"/>
          <w:szCs w:val="28"/>
          <w:shd w:val="clear" w:color="auto" w:fill="FFFFFF"/>
        </w:rPr>
      </w:pPr>
      <w:r>
        <w:rPr>
          <w:rFonts w:hint="eastAsia" w:ascii="仿宋" w:hAnsi="仿宋" w:eastAsia="仿宋" w:cs="宋体"/>
          <w:kern w:val="0"/>
          <w:sz w:val="28"/>
          <w:szCs w:val="28"/>
          <w:shd w:val="clear" w:color="auto" w:fill="FFFFFF"/>
        </w:rPr>
        <w:t>4、投标报价应包含产品价格、运输费、卸货费、安装费等完成本项目所需的一切费用。</w:t>
      </w:r>
    </w:p>
    <w:p w14:paraId="468742F8">
      <w:pPr>
        <w:widowControl/>
        <w:spacing w:after="0" w:line="360" w:lineRule="auto"/>
        <w:ind w:firstLine="560" w:firstLineChars="200"/>
        <w:rPr>
          <w:rFonts w:hint="eastAsia" w:ascii="仿宋" w:hAnsi="仿宋" w:eastAsia="仿宋" w:cs="宋体"/>
          <w:kern w:val="0"/>
          <w:sz w:val="28"/>
          <w:szCs w:val="28"/>
          <w:shd w:val="clear" w:color="auto" w:fill="FFFFFF"/>
        </w:rPr>
      </w:pPr>
      <w:r>
        <w:rPr>
          <w:rFonts w:hint="eastAsia" w:ascii="仿宋" w:hAnsi="仿宋" w:eastAsia="仿宋" w:cs="宋体"/>
          <w:kern w:val="0"/>
          <w:sz w:val="28"/>
          <w:szCs w:val="28"/>
          <w:shd w:val="clear" w:color="auto" w:fill="FFFFFF"/>
        </w:rPr>
        <w:t>5、成交供应商为本项目施工现场安全生产、消防安全、施工质量安全的第一责任主体，签订合同的同时需签订安全生产协议，明确双方安全管理职责。</w:t>
      </w:r>
    </w:p>
    <w:p w14:paraId="4E21099F">
      <w:pPr>
        <w:widowControl/>
        <w:spacing w:after="0" w:line="360" w:lineRule="auto"/>
        <w:ind w:firstLine="560" w:firstLineChars="200"/>
        <w:rPr>
          <w:rFonts w:hint="eastAsia" w:ascii="仿宋" w:hAnsi="仿宋" w:eastAsia="仿宋" w:cs="宋体"/>
          <w:kern w:val="0"/>
          <w:sz w:val="28"/>
          <w:szCs w:val="28"/>
          <w:shd w:val="clear" w:color="auto" w:fill="FFFFFF"/>
        </w:rPr>
      </w:pPr>
      <w:r>
        <w:rPr>
          <w:rFonts w:hint="eastAsia" w:ascii="仿宋" w:hAnsi="仿宋" w:eastAsia="仿宋" w:cs="宋体"/>
          <w:kern w:val="0"/>
          <w:sz w:val="28"/>
          <w:szCs w:val="28"/>
          <w:shd w:val="clear" w:color="auto" w:fill="FFFFFF"/>
        </w:rPr>
        <w:t>6、验收及质量要求：</w:t>
      </w:r>
    </w:p>
    <w:p w14:paraId="647AF752">
      <w:pPr>
        <w:widowControl/>
        <w:spacing w:after="0" w:line="360" w:lineRule="auto"/>
        <w:ind w:firstLine="560" w:firstLineChars="200"/>
        <w:rPr>
          <w:rFonts w:hint="eastAsia" w:ascii="仿宋" w:hAnsi="仿宋" w:eastAsia="仿宋" w:cs="宋体"/>
          <w:kern w:val="0"/>
          <w:sz w:val="28"/>
          <w:szCs w:val="28"/>
          <w:shd w:val="clear" w:color="auto" w:fill="FFFFFF"/>
        </w:rPr>
      </w:pPr>
      <w:r>
        <w:rPr>
          <w:rFonts w:hint="eastAsia" w:ascii="仿宋" w:hAnsi="仿宋" w:eastAsia="仿宋" w:cs="宋体"/>
          <w:kern w:val="0"/>
          <w:sz w:val="28"/>
          <w:szCs w:val="28"/>
          <w:shd w:val="clear" w:color="auto" w:fill="FFFFFF"/>
        </w:rPr>
        <w:t>采购人按国家有关规定、行业标准,符合相关法律法规要求、采购文件的质量要求和技术指标、成交供应商的响应文件、承诺和合同约定标准进行验收。采购人与供应商双方如对质量要求和技术指标的约定标准有相互抵触或异议的事项，由采购人在采购文件及投标文件中按质量要求和技术指标比较优胜的原则确定该项的约定标准进行验收。</w:t>
      </w:r>
    </w:p>
    <w:p w14:paraId="5C6EE778">
      <w:pPr>
        <w:widowControl/>
        <w:spacing w:after="0" w:line="360" w:lineRule="auto"/>
        <w:ind w:firstLine="560" w:firstLineChars="200"/>
        <w:rPr>
          <w:rFonts w:hint="eastAsia" w:ascii="仿宋" w:hAnsi="仿宋" w:eastAsia="仿宋" w:cs="宋体"/>
          <w:kern w:val="0"/>
          <w:sz w:val="28"/>
          <w:szCs w:val="28"/>
          <w:shd w:val="clear" w:color="auto" w:fill="FFFFFF"/>
        </w:rPr>
      </w:pPr>
      <w:r>
        <w:rPr>
          <w:rFonts w:hint="eastAsia" w:ascii="仿宋" w:hAnsi="仿宋" w:eastAsia="仿宋" w:cs="宋体"/>
          <w:kern w:val="0"/>
          <w:sz w:val="28"/>
          <w:szCs w:val="28"/>
          <w:shd w:val="clear" w:color="auto" w:fill="FFFFFF"/>
        </w:rPr>
        <w:t>7、其他未尽事宜由供需双方在采购合同中约定。</w:t>
      </w:r>
    </w:p>
    <w:p w14:paraId="78B69083">
      <w:pPr>
        <w:pStyle w:val="6"/>
        <w:rPr>
          <w:rFonts w:hint="default"/>
          <w:lang w:val="en-US" w:eastAsia="zh-CN"/>
        </w:rPr>
      </w:pPr>
    </w:p>
    <w:bookmarkEnd w:id="0"/>
    <w:bookmarkEnd w:id="1"/>
    <w:p w14:paraId="7E251FF6">
      <w:pPr>
        <w:pStyle w:val="4"/>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b/>
          <w:bCs/>
          <w:color w:val="auto"/>
          <w:sz w:val="22"/>
          <w:szCs w:val="24"/>
          <w:highlight w:val="none"/>
        </w:rPr>
      </w:pPr>
      <w:r>
        <w:rPr>
          <w:rFonts w:hint="eastAsia" w:ascii="宋体" w:hAnsi="宋体" w:eastAsia="宋体" w:cs="宋体"/>
          <w:b/>
          <w:bCs/>
          <w:color w:val="auto"/>
          <w:sz w:val="28"/>
          <w:szCs w:val="28"/>
          <w:highlight w:val="none"/>
        </w:rPr>
        <w:t>注：</w:t>
      </w:r>
      <w:r>
        <w:rPr>
          <w:rFonts w:hint="eastAsia" w:ascii="宋体" w:hAnsi="宋体" w:eastAsia="宋体" w:cs="宋体"/>
          <w:b/>
          <w:bCs/>
          <w:color w:val="auto"/>
          <w:sz w:val="28"/>
          <w:szCs w:val="28"/>
          <w:highlight w:val="none"/>
          <w:lang w:val="en-US" w:eastAsia="zh-CN"/>
        </w:rPr>
        <w:t>1、</w:t>
      </w:r>
      <w:r>
        <w:rPr>
          <w:rFonts w:hint="eastAsia" w:ascii="宋体" w:hAnsi="宋体" w:eastAsia="宋体" w:cs="宋体"/>
          <w:b/>
          <w:bCs/>
          <w:color w:val="auto"/>
          <w:sz w:val="28"/>
          <w:szCs w:val="28"/>
          <w:highlight w:val="none"/>
        </w:rPr>
        <w:t>以上带★号条款为实质性要求。</w:t>
      </w:r>
    </w:p>
    <w:p w14:paraId="4244C272">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Chars="0" w:firstLine="562" w:firstLineChars="200"/>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本项目所涉及的所有国家标准、地方标准、行业标准等如有最新的标准以最新标准为准。</w:t>
      </w:r>
    </w:p>
    <w:p w14:paraId="466D57A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sz w:val="24"/>
          <w:szCs w:val="24"/>
          <w:highlight w:val="none"/>
          <w:lang w:val="en-US" w:eastAsia="zh-CN"/>
        </w:rPr>
      </w:pPr>
    </w:p>
    <w:p w14:paraId="3E59B0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bCs w:val="0"/>
          <w:color w:val="auto"/>
          <w:sz w:val="24"/>
          <w:szCs w:val="24"/>
          <w:highlight w:val="none"/>
          <w:lang w:val="en-US" w:eastAsia="zh-CN"/>
        </w:rPr>
      </w:pPr>
    </w:p>
    <w:p w14:paraId="3483A325">
      <w:pPr>
        <w:pStyle w:val="6"/>
        <w:rPr>
          <w:rFonts w:hint="eastAsia"/>
          <w:lang w:val="en-US" w:eastAsia="zh-CN"/>
        </w:rPr>
      </w:pPr>
    </w:p>
    <w:p w14:paraId="754C32E0">
      <w:pPr>
        <w:pStyle w:val="8"/>
        <w:rPr>
          <w:rFonts w:hint="eastAsia"/>
          <w:lang w:val="en-US" w:eastAsia="zh-CN"/>
        </w:rPr>
      </w:pPr>
    </w:p>
    <w:p w14:paraId="3AB7AB7A">
      <w:pPr>
        <w:rPr>
          <w:rFonts w:hint="eastAsia"/>
          <w:lang w:val="en-US" w:eastAsia="zh-CN"/>
        </w:rPr>
      </w:pPr>
    </w:p>
    <w:p w14:paraId="095CC64F">
      <w:pPr>
        <w:rPr>
          <w:rFonts w:hint="eastAsia"/>
          <w:lang w:val="en-US" w:eastAsia="zh-CN"/>
        </w:rPr>
      </w:pPr>
    </w:p>
    <w:p w14:paraId="532E3120">
      <w:pPr>
        <w:rPr>
          <w:rFonts w:hint="eastAsia"/>
          <w:lang w:val="en-US" w:eastAsia="zh-CN"/>
        </w:rPr>
      </w:pPr>
    </w:p>
    <w:p w14:paraId="76786CEE">
      <w:pPr>
        <w:rPr>
          <w:rFonts w:hint="eastAsia"/>
          <w:lang w:val="en-US" w:eastAsia="zh-CN"/>
        </w:rPr>
      </w:pPr>
    </w:p>
    <w:p w14:paraId="695270B2">
      <w:pPr>
        <w:rPr>
          <w:rFonts w:hint="eastAsia"/>
          <w:lang w:val="en-US" w:eastAsia="zh-CN"/>
        </w:rPr>
      </w:pPr>
    </w:p>
    <w:p w14:paraId="49329EC7">
      <w:pPr>
        <w:rPr>
          <w:rFonts w:hint="eastAsia"/>
          <w:lang w:val="en-US" w:eastAsia="zh-CN"/>
        </w:rPr>
      </w:pPr>
    </w:p>
    <w:p w14:paraId="4107E618">
      <w:pPr>
        <w:rPr>
          <w:rFonts w:hint="eastAsia"/>
          <w:lang w:val="en-US" w:eastAsia="zh-CN"/>
        </w:rPr>
      </w:pPr>
    </w:p>
    <w:p w14:paraId="0273EBCA">
      <w:pPr>
        <w:rPr>
          <w:rFonts w:hint="eastAsia"/>
          <w:lang w:val="en-US" w:eastAsia="zh-CN"/>
        </w:rPr>
      </w:pPr>
    </w:p>
    <w:p w14:paraId="393A6A0F">
      <w:pPr>
        <w:rPr>
          <w:rFonts w:hint="eastAsia"/>
          <w:lang w:val="en-US" w:eastAsia="zh-CN"/>
        </w:rPr>
      </w:pPr>
    </w:p>
    <w:p w14:paraId="0FFB01D2">
      <w:pPr>
        <w:rPr>
          <w:rFonts w:hint="eastAsia"/>
          <w:lang w:val="en-US" w:eastAsia="zh-CN"/>
        </w:rPr>
      </w:pPr>
    </w:p>
    <w:p w14:paraId="45A2EC17">
      <w:pPr>
        <w:rPr>
          <w:rFonts w:hint="eastAsia"/>
          <w:lang w:val="en-US" w:eastAsia="zh-CN"/>
        </w:rPr>
      </w:pPr>
    </w:p>
    <w:p w14:paraId="2106C353">
      <w:pPr>
        <w:rPr>
          <w:rFonts w:hint="eastAsia"/>
          <w:lang w:val="en-US" w:eastAsia="zh-CN"/>
        </w:rPr>
      </w:pPr>
    </w:p>
    <w:p w14:paraId="4D17C0E5">
      <w:pPr>
        <w:rPr>
          <w:rFonts w:hint="eastAsia"/>
          <w:lang w:val="en-US" w:eastAsia="zh-CN"/>
        </w:rPr>
      </w:pPr>
    </w:p>
    <w:p w14:paraId="4AEE1AE3">
      <w:pPr>
        <w:rPr>
          <w:rFonts w:hint="eastAsia"/>
          <w:lang w:val="en-US" w:eastAsia="zh-CN"/>
        </w:rPr>
      </w:pPr>
    </w:p>
    <w:p w14:paraId="68E3C646">
      <w:pPr>
        <w:rPr>
          <w:rFonts w:hint="eastAsia"/>
          <w:lang w:val="en-US" w:eastAsia="zh-CN"/>
        </w:rPr>
      </w:pPr>
    </w:p>
    <w:p w14:paraId="3FDA95A5">
      <w:pPr>
        <w:rPr>
          <w:rFonts w:hint="eastAsia"/>
          <w:lang w:val="en-US" w:eastAsia="zh-CN"/>
        </w:rPr>
      </w:pPr>
    </w:p>
    <w:p w14:paraId="7008D441">
      <w:pPr>
        <w:rPr>
          <w:rFonts w:hint="eastAsia"/>
          <w:lang w:val="en-US" w:eastAsia="zh-CN"/>
        </w:rPr>
      </w:pPr>
    </w:p>
    <w:p w14:paraId="2015D9EC">
      <w:pPr>
        <w:rPr>
          <w:rFonts w:hint="eastAsia"/>
          <w:lang w:val="en-US" w:eastAsia="zh-CN"/>
        </w:rPr>
      </w:pPr>
    </w:p>
    <w:p w14:paraId="06BAA436">
      <w:pPr>
        <w:rPr>
          <w:rFonts w:hint="eastAsia"/>
          <w:lang w:val="en-US" w:eastAsia="zh-CN"/>
        </w:rPr>
      </w:pPr>
    </w:p>
    <w:p w14:paraId="2B3AE82C">
      <w:pPr>
        <w:rPr>
          <w:rFonts w:hint="eastAsia"/>
          <w:lang w:val="en-US" w:eastAsia="zh-CN"/>
        </w:rPr>
      </w:pPr>
      <w:r>
        <w:rPr>
          <w:rFonts w:hint="eastAsia" w:ascii="Calibri" w:hAnsi="Calibri"/>
          <w:b/>
          <w:bCs/>
          <w:color w:val="auto"/>
          <w:sz w:val="32"/>
          <w:szCs w:val="32"/>
        </w:rPr>
        <w:t>附件2：报价</w:t>
      </w:r>
      <w:r>
        <w:rPr>
          <w:rFonts w:hint="eastAsia" w:ascii="Calibri" w:hAnsi="Calibri"/>
          <w:b/>
          <w:bCs/>
          <w:color w:val="auto"/>
          <w:sz w:val="32"/>
          <w:szCs w:val="32"/>
          <w:lang w:val="en-US" w:eastAsia="zh-CN"/>
        </w:rPr>
        <w:t>格式</w:t>
      </w:r>
    </w:p>
    <w:p w14:paraId="142C4862">
      <w:pPr>
        <w:rPr>
          <w:rFonts w:hint="eastAsia"/>
          <w:lang w:val="en-US" w:eastAsia="zh-CN"/>
        </w:rPr>
      </w:pPr>
    </w:p>
    <w:tbl>
      <w:tblPr>
        <w:tblStyle w:val="16"/>
        <w:tblW w:w="8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2495"/>
        <w:gridCol w:w="1328"/>
        <w:gridCol w:w="1780"/>
        <w:gridCol w:w="2002"/>
      </w:tblGrid>
      <w:tr w14:paraId="1F5A1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1366" w:type="dxa"/>
            <w:noWrap w:val="0"/>
            <w:vAlign w:val="center"/>
          </w:tcPr>
          <w:p w14:paraId="50D50103">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序号</w:t>
            </w:r>
          </w:p>
        </w:tc>
        <w:tc>
          <w:tcPr>
            <w:tcW w:w="2495" w:type="dxa"/>
            <w:noWrap w:val="0"/>
            <w:vAlign w:val="center"/>
          </w:tcPr>
          <w:p w14:paraId="615359CA">
            <w:pPr>
              <w:jc w:val="center"/>
              <w:rPr>
                <w:rFonts w:hint="default"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项目名称</w:t>
            </w:r>
          </w:p>
        </w:tc>
        <w:tc>
          <w:tcPr>
            <w:tcW w:w="1328" w:type="dxa"/>
            <w:noWrap w:val="0"/>
            <w:vAlign w:val="center"/>
          </w:tcPr>
          <w:p w14:paraId="29725DF0">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单位</w:t>
            </w:r>
          </w:p>
        </w:tc>
        <w:tc>
          <w:tcPr>
            <w:tcW w:w="1780" w:type="dxa"/>
            <w:noWrap w:val="0"/>
            <w:vAlign w:val="center"/>
          </w:tcPr>
          <w:p w14:paraId="3D64CF57">
            <w:pPr>
              <w:jc w:val="center"/>
              <w:rPr>
                <w:rFonts w:hint="default"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预估数量</w:t>
            </w:r>
          </w:p>
        </w:tc>
        <w:tc>
          <w:tcPr>
            <w:tcW w:w="2002" w:type="dxa"/>
            <w:noWrap w:val="0"/>
            <w:vAlign w:val="center"/>
          </w:tcPr>
          <w:p w14:paraId="250C5B61">
            <w:pPr>
              <w:jc w:val="center"/>
              <w:rPr>
                <w:rFonts w:hint="eastAsia" w:ascii="仿宋" w:hAnsi="仿宋" w:eastAsia="仿宋" w:cs="Times New Roman"/>
                <w:b/>
                <w:bCs/>
                <w:color w:val="auto"/>
                <w:kern w:val="2"/>
                <w:sz w:val="28"/>
                <w:szCs w:val="28"/>
                <w:lang w:val="en-US" w:eastAsia="zh-CN" w:bidi="ar-SA"/>
              </w:rPr>
            </w:pPr>
            <w:r>
              <w:rPr>
                <w:rFonts w:hint="eastAsia" w:ascii="仿宋" w:hAnsi="仿宋" w:eastAsia="仿宋" w:cs="Times New Roman"/>
                <w:b/>
                <w:bCs/>
                <w:color w:val="auto"/>
                <w:kern w:val="2"/>
                <w:sz w:val="28"/>
                <w:szCs w:val="28"/>
                <w:lang w:val="en-US" w:eastAsia="zh-CN" w:bidi="ar-SA"/>
              </w:rPr>
              <w:t>单价（元）</w:t>
            </w:r>
          </w:p>
        </w:tc>
      </w:tr>
      <w:tr w14:paraId="5D578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366" w:type="dxa"/>
            <w:noWrap w:val="0"/>
            <w:vAlign w:val="center"/>
          </w:tcPr>
          <w:p w14:paraId="443BC62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495" w:type="dxa"/>
            <w:noWrap w:val="0"/>
            <w:vAlign w:val="center"/>
          </w:tcPr>
          <w:p w14:paraId="1076E4E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枪型数字高清摄像头</w:t>
            </w:r>
          </w:p>
        </w:tc>
        <w:tc>
          <w:tcPr>
            <w:tcW w:w="1328" w:type="dxa"/>
            <w:noWrap w:val="0"/>
            <w:vAlign w:val="center"/>
          </w:tcPr>
          <w:p w14:paraId="6A20B95C">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38E6A311">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w:t>
            </w:r>
          </w:p>
        </w:tc>
        <w:tc>
          <w:tcPr>
            <w:tcW w:w="2002" w:type="dxa"/>
            <w:noWrap w:val="0"/>
            <w:vAlign w:val="center"/>
          </w:tcPr>
          <w:p w14:paraId="02C48A37">
            <w:pPr>
              <w:jc w:val="center"/>
              <w:rPr>
                <w:rFonts w:hint="eastAsia" w:ascii="仿宋" w:hAnsi="仿宋" w:eastAsia="仿宋" w:cs="仿宋"/>
                <w:bCs/>
                <w:color w:val="auto"/>
                <w:kern w:val="2"/>
                <w:sz w:val="28"/>
                <w:szCs w:val="28"/>
                <w:lang w:val="en-US" w:eastAsia="zh-CN" w:bidi="ar-SA"/>
              </w:rPr>
            </w:pPr>
          </w:p>
        </w:tc>
      </w:tr>
      <w:tr w14:paraId="19A3C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42ED8FB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w:t>
            </w:r>
          </w:p>
        </w:tc>
        <w:tc>
          <w:tcPr>
            <w:tcW w:w="2495" w:type="dxa"/>
            <w:shd w:val="clear" w:color="auto" w:fill="auto"/>
            <w:noWrap w:val="0"/>
            <w:vAlign w:val="center"/>
          </w:tcPr>
          <w:p w14:paraId="63661D5F">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球型数字高清摄像头</w:t>
            </w:r>
          </w:p>
        </w:tc>
        <w:tc>
          <w:tcPr>
            <w:tcW w:w="1328" w:type="dxa"/>
            <w:shd w:val="clear" w:color="auto" w:fill="auto"/>
            <w:noWrap w:val="0"/>
            <w:vAlign w:val="center"/>
          </w:tcPr>
          <w:p w14:paraId="1931F06F">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6CCC5BDC">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w:t>
            </w:r>
          </w:p>
        </w:tc>
        <w:tc>
          <w:tcPr>
            <w:tcW w:w="2002" w:type="dxa"/>
            <w:noWrap w:val="0"/>
            <w:vAlign w:val="center"/>
          </w:tcPr>
          <w:p w14:paraId="110AE341">
            <w:pPr>
              <w:jc w:val="center"/>
              <w:rPr>
                <w:rFonts w:hint="eastAsia" w:ascii="仿宋" w:hAnsi="仿宋" w:eastAsia="仿宋" w:cs="仿宋"/>
                <w:bCs/>
                <w:color w:val="auto"/>
                <w:kern w:val="2"/>
                <w:sz w:val="28"/>
                <w:szCs w:val="28"/>
                <w:lang w:val="en-US" w:eastAsia="zh-CN" w:bidi="ar-SA"/>
              </w:rPr>
            </w:pPr>
          </w:p>
        </w:tc>
      </w:tr>
      <w:tr w14:paraId="0726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10C2791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3</w:t>
            </w:r>
          </w:p>
        </w:tc>
        <w:tc>
          <w:tcPr>
            <w:tcW w:w="2495" w:type="dxa"/>
            <w:shd w:val="clear" w:color="auto" w:fill="auto"/>
            <w:noWrap w:val="0"/>
            <w:vAlign w:val="center"/>
          </w:tcPr>
          <w:p w14:paraId="6C7A20AA">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6类网络线缆</w:t>
            </w:r>
          </w:p>
        </w:tc>
        <w:tc>
          <w:tcPr>
            <w:tcW w:w="1328" w:type="dxa"/>
            <w:shd w:val="clear" w:color="auto" w:fill="auto"/>
            <w:noWrap w:val="0"/>
            <w:vAlign w:val="center"/>
          </w:tcPr>
          <w:p w14:paraId="77E474EB">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箱</w:t>
            </w:r>
          </w:p>
        </w:tc>
        <w:tc>
          <w:tcPr>
            <w:tcW w:w="1780" w:type="dxa"/>
            <w:noWrap w:val="0"/>
            <w:vAlign w:val="center"/>
          </w:tcPr>
          <w:p w14:paraId="28C0B41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w:t>
            </w:r>
          </w:p>
        </w:tc>
        <w:tc>
          <w:tcPr>
            <w:tcW w:w="2002" w:type="dxa"/>
            <w:noWrap w:val="0"/>
            <w:vAlign w:val="center"/>
          </w:tcPr>
          <w:p w14:paraId="3B87A7DE">
            <w:pPr>
              <w:jc w:val="center"/>
              <w:rPr>
                <w:rFonts w:hint="eastAsia" w:ascii="仿宋" w:hAnsi="仿宋" w:eastAsia="仿宋" w:cs="仿宋"/>
                <w:bCs/>
                <w:color w:val="auto"/>
                <w:kern w:val="2"/>
                <w:sz w:val="28"/>
                <w:szCs w:val="28"/>
                <w:lang w:val="en-US" w:eastAsia="zh-CN" w:bidi="ar-SA"/>
              </w:rPr>
            </w:pPr>
          </w:p>
        </w:tc>
      </w:tr>
      <w:tr w14:paraId="0970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428967C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4</w:t>
            </w:r>
          </w:p>
        </w:tc>
        <w:tc>
          <w:tcPr>
            <w:tcW w:w="2495" w:type="dxa"/>
            <w:shd w:val="clear" w:color="auto" w:fill="auto"/>
            <w:noWrap w:val="0"/>
            <w:vAlign w:val="center"/>
          </w:tcPr>
          <w:p w14:paraId="0FF43253">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光纤收发器</w:t>
            </w:r>
          </w:p>
        </w:tc>
        <w:tc>
          <w:tcPr>
            <w:tcW w:w="1328" w:type="dxa"/>
            <w:shd w:val="clear" w:color="auto" w:fill="auto"/>
            <w:noWrap w:val="0"/>
            <w:vAlign w:val="center"/>
          </w:tcPr>
          <w:p w14:paraId="3F4FEC51">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对</w:t>
            </w:r>
          </w:p>
        </w:tc>
        <w:tc>
          <w:tcPr>
            <w:tcW w:w="1780" w:type="dxa"/>
            <w:noWrap w:val="0"/>
            <w:vAlign w:val="center"/>
          </w:tcPr>
          <w:p w14:paraId="0A541A69">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5</w:t>
            </w:r>
          </w:p>
        </w:tc>
        <w:tc>
          <w:tcPr>
            <w:tcW w:w="2002" w:type="dxa"/>
            <w:noWrap w:val="0"/>
            <w:vAlign w:val="center"/>
          </w:tcPr>
          <w:p w14:paraId="01CE160A">
            <w:pPr>
              <w:jc w:val="center"/>
              <w:rPr>
                <w:rFonts w:hint="eastAsia" w:ascii="仿宋" w:hAnsi="仿宋" w:eastAsia="仿宋" w:cs="仿宋"/>
                <w:bCs/>
                <w:color w:val="auto"/>
                <w:kern w:val="2"/>
                <w:sz w:val="28"/>
                <w:szCs w:val="28"/>
                <w:lang w:val="en-US" w:eastAsia="zh-CN" w:bidi="ar-SA"/>
              </w:rPr>
            </w:pPr>
          </w:p>
        </w:tc>
      </w:tr>
      <w:tr w14:paraId="52CF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2562A40D">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5</w:t>
            </w:r>
          </w:p>
        </w:tc>
        <w:tc>
          <w:tcPr>
            <w:tcW w:w="2495" w:type="dxa"/>
            <w:shd w:val="clear" w:color="auto" w:fill="auto"/>
            <w:noWrap w:val="0"/>
            <w:vAlign w:val="center"/>
          </w:tcPr>
          <w:p w14:paraId="38DCAEAA">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5口POE交换机</w:t>
            </w:r>
          </w:p>
        </w:tc>
        <w:tc>
          <w:tcPr>
            <w:tcW w:w="1328" w:type="dxa"/>
            <w:shd w:val="clear" w:color="auto" w:fill="auto"/>
            <w:noWrap w:val="0"/>
            <w:vAlign w:val="center"/>
          </w:tcPr>
          <w:p w14:paraId="417C645F">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3A4E800C">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5</w:t>
            </w:r>
          </w:p>
        </w:tc>
        <w:tc>
          <w:tcPr>
            <w:tcW w:w="2002" w:type="dxa"/>
            <w:noWrap w:val="0"/>
            <w:vAlign w:val="center"/>
          </w:tcPr>
          <w:p w14:paraId="4F5487E0">
            <w:pPr>
              <w:jc w:val="center"/>
              <w:rPr>
                <w:rFonts w:hint="eastAsia" w:ascii="仿宋" w:hAnsi="仿宋" w:eastAsia="仿宋" w:cs="仿宋"/>
                <w:bCs/>
                <w:color w:val="auto"/>
                <w:kern w:val="2"/>
                <w:sz w:val="28"/>
                <w:szCs w:val="28"/>
                <w:lang w:val="en-US" w:eastAsia="zh-CN" w:bidi="ar-SA"/>
              </w:rPr>
            </w:pPr>
          </w:p>
        </w:tc>
      </w:tr>
      <w:tr w14:paraId="68A4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1D320D6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6</w:t>
            </w:r>
          </w:p>
        </w:tc>
        <w:tc>
          <w:tcPr>
            <w:tcW w:w="2495" w:type="dxa"/>
            <w:shd w:val="clear" w:color="auto" w:fill="auto"/>
            <w:noWrap w:val="0"/>
            <w:vAlign w:val="center"/>
          </w:tcPr>
          <w:p w14:paraId="26275F66">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8口POE交换机</w:t>
            </w:r>
          </w:p>
        </w:tc>
        <w:tc>
          <w:tcPr>
            <w:tcW w:w="1328" w:type="dxa"/>
            <w:shd w:val="clear" w:color="auto" w:fill="auto"/>
            <w:noWrap w:val="0"/>
            <w:vAlign w:val="center"/>
          </w:tcPr>
          <w:p w14:paraId="3C961555">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5F0D3C6A">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w:t>
            </w:r>
          </w:p>
        </w:tc>
        <w:tc>
          <w:tcPr>
            <w:tcW w:w="2002" w:type="dxa"/>
            <w:noWrap w:val="0"/>
            <w:vAlign w:val="center"/>
          </w:tcPr>
          <w:p w14:paraId="1828AD76">
            <w:pPr>
              <w:jc w:val="center"/>
              <w:rPr>
                <w:rFonts w:hint="eastAsia" w:ascii="仿宋" w:hAnsi="仿宋" w:eastAsia="仿宋" w:cs="仿宋"/>
                <w:bCs/>
                <w:color w:val="auto"/>
                <w:kern w:val="2"/>
                <w:sz w:val="28"/>
                <w:szCs w:val="28"/>
                <w:lang w:val="en-US" w:eastAsia="zh-CN" w:bidi="ar-SA"/>
              </w:rPr>
            </w:pPr>
          </w:p>
        </w:tc>
      </w:tr>
      <w:tr w14:paraId="32AD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154CFCE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7</w:t>
            </w:r>
          </w:p>
        </w:tc>
        <w:tc>
          <w:tcPr>
            <w:tcW w:w="2495" w:type="dxa"/>
            <w:shd w:val="clear" w:color="auto" w:fill="auto"/>
            <w:noWrap w:val="0"/>
            <w:vAlign w:val="center"/>
          </w:tcPr>
          <w:p w14:paraId="43BFC266">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独立式监控摄像头</w:t>
            </w:r>
          </w:p>
        </w:tc>
        <w:tc>
          <w:tcPr>
            <w:tcW w:w="1328" w:type="dxa"/>
            <w:shd w:val="clear" w:color="auto" w:fill="auto"/>
            <w:noWrap w:val="0"/>
            <w:vAlign w:val="center"/>
          </w:tcPr>
          <w:p w14:paraId="5E70A943">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76B7D331">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5</w:t>
            </w:r>
          </w:p>
        </w:tc>
        <w:tc>
          <w:tcPr>
            <w:tcW w:w="2002" w:type="dxa"/>
            <w:noWrap w:val="0"/>
            <w:vAlign w:val="center"/>
          </w:tcPr>
          <w:p w14:paraId="61DCA709">
            <w:pPr>
              <w:jc w:val="center"/>
              <w:rPr>
                <w:rFonts w:hint="eastAsia" w:ascii="仿宋" w:hAnsi="仿宋" w:eastAsia="仿宋" w:cs="仿宋"/>
                <w:bCs/>
                <w:color w:val="auto"/>
                <w:kern w:val="2"/>
                <w:sz w:val="28"/>
                <w:szCs w:val="28"/>
                <w:lang w:val="en-US" w:eastAsia="zh-CN" w:bidi="ar-SA"/>
              </w:rPr>
            </w:pPr>
          </w:p>
        </w:tc>
      </w:tr>
      <w:tr w14:paraId="16817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6D03FA09">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8</w:t>
            </w:r>
          </w:p>
        </w:tc>
        <w:tc>
          <w:tcPr>
            <w:tcW w:w="2495" w:type="dxa"/>
            <w:shd w:val="clear" w:color="auto" w:fill="auto"/>
            <w:noWrap w:val="0"/>
            <w:vAlign w:val="center"/>
          </w:tcPr>
          <w:p w14:paraId="3141B469">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POE中继器</w:t>
            </w:r>
          </w:p>
        </w:tc>
        <w:tc>
          <w:tcPr>
            <w:tcW w:w="1328" w:type="dxa"/>
            <w:shd w:val="clear" w:color="auto" w:fill="auto"/>
            <w:noWrap w:val="0"/>
            <w:vAlign w:val="center"/>
          </w:tcPr>
          <w:p w14:paraId="4E55389E">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7B4B5656">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10</w:t>
            </w:r>
          </w:p>
        </w:tc>
        <w:tc>
          <w:tcPr>
            <w:tcW w:w="2002" w:type="dxa"/>
            <w:noWrap w:val="0"/>
            <w:vAlign w:val="center"/>
          </w:tcPr>
          <w:p w14:paraId="35BF3475">
            <w:pPr>
              <w:jc w:val="center"/>
              <w:rPr>
                <w:rFonts w:hint="eastAsia" w:ascii="仿宋" w:hAnsi="仿宋" w:eastAsia="仿宋" w:cs="仿宋"/>
                <w:bCs/>
                <w:color w:val="auto"/>
                <w:kern w:val="2"/>
                <w:sz w:val="28"/>
                <w:szCs w:val="28"/>
                <w:lang w:val="en-US" w:eastAsia="zh-CN" w:bidi="ar-SA"/>
              </w:rPr>
            </w:pPr>
          </w:p>
        </w:tc>
      </w:tr>
      <w:tr w14:paraId="72E71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0E555BFD">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9</w:t>
            </w:r>
          </w:p>
        </w:tc>
        <w:tc>
          <w:tcPr>
            <w:tcW w:w="2495" w:type="dxa"/>
            <w:shd w:val="clear" w:color="auto" w:fill="auto"/>
            <w:noWrap w:val="0"/>
            <w:vAlign w:val="center"/>
          </w:tcPr>
          <w:p w14:paraId="78309BEE">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2T监控硬盘</w:t>
            </w:r>
          </w:p>
        </w:tc>
        <w:tc>
          <w:tcPr>
            <w:tcW w:w="1328" w:type="dxa"/>
            <w:shd w:val="clear" w:color="auto" w:fill="auto"/>
            <w:noWrap w:val="0"/>
            <w:vAlign w:val="center"/>
          </w:tcPr>
          <w:p w14:paraId="0DE85AD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0D350C32">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3</w:t>
            </w:r>
          </w:p>
        </w:tc>
        <w:tc>
          <w:tcPr>
            <w:tcW w:w="2002" w:type="dxa"/>
            <w:noWrap w:val="0"/>
            <w:vAlign w:val="center"/>
          </w:tcPr>
          <w:p w14:paraId="492678BF">
            <w:pPr>
              <w:jc w:val="center"/>
              <w:rPr>
                <w:rFonts w:hint="eastAsia" w:ascii="仿宋" w:hAnsi="仿宋" w:eastAsia="仿宋" w:cs="仿宋"/>
                <w:bCs/>
                <w:color w:val="auto"/>
                <w:kern w:val="2"/>
                <w:sz w:val="28"/>
                <w:szCs w:val="28"/>
                <w:lang w:val="en-US" w:eastAsia="zh-CN" w:bidi="ar-SA"/>
              </w:rPr>
            </w:pPr>
          </w:p>
        </w:tc>
      </w:tr>
      <w:tr w14:paraId="07412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7B334B66">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10</w:t>
            </w:r>
          </w:p>
        </w:tc>
        <w:tc>
          <w:tcPr>
            <w:tcW w:w="2495" w:type="dxa"/>
            <w:shd w:val="clear" w:color="auto" w:fill="auto"/>
            <w:noWrap w:val="0"/>
            <w:vAlign w:val="center"/>
          </w:tcPr>
          <w:p w14:paraId="27F7A4E9">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4T监控硬盘</w:t>
            </w:r>
          </w:p>
        </w:tc>
        <w:tc>
          <w:tcPr>
            <w:tcW w:w="1328" w:type="dxa"/>
            <w:shd w:val="clear" w:color="auto" w:fill="auto"/>
            <w:noWrap w:val="0"/>
            <w:vAlign w:val="center"/>
          </w:tcPr>
          <w:p w14:paraId="59E07263">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2E1B4A5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w:t>
            </w:r>
          </w:p>
        </w:tc>
        <w:tc>
          <w:tcPr>
            <w:tcW w:w="2002" w:type="dxa"/>
            <w:noWrap w:val="0"/>
            <w:vAlign w:val="center"/>
          </w:tcPr>
          <w:p w14:paraId="084D3B00">
            <w:pPr>
              <w:jc w:val="center"/>
              <w:rPr>
                <w:rFonts w:hint="eastAsia" w:ascii="仿宋" w:hAnsi="仿宋" w:eastAsia="仿宋" w:cs="仿宋"/>
                <w:bCs/>
                <w:color w:val="auto"/>
                <w:kern w:val="2"/>
                <w:sz w:val="28"/>
                <w:szCs w:val="28"/>
                <w:lang w:val="en-US" w:eastAsia="zh-CN" w:bidi="ar-SA"/>
              </w:rPr>
            </w:pPr>
          </w:p>
        </w:tc>
      </w:tr>
      <w:tr w14:paraId="1A384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2F941C3B">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11</w:t>
            </w:r>
          </w:p>
        </w:tc>
        <w:tc>
          <w:tcPr>
            <w:tcW w:w="2495" w:type="dxa"/>
            <w:shd w:val="clear" w:color="auto" w:fill="auto"/>
            <w:noWrap w:val="0"/>
            <w:vAlign w:val="center"/>
          </w:tcPr>
          <w:p w14:paraId="07EA67A5">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8T监控硬盘</w:t>
            </w:r>
          </w:p>
        </w:tc>
        <w:tc>
          <w:tcPr>
            <w:tcW w:w="1328" w:type="dxa"/>
            <w:shd w:val="clear" w:color="auto" w:fill="auto"/>
            <w:noWrap w:val="0"/>
            <w:vAlign w:val="center"/>
          </w:tcPr>
          <w:p w14:paraId="0D9C8A2F">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4BCE4306">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328C131D">
            <w:pPr>
              <w:jc w:val="center"/>
              <w:rPr>
                <w:rFonts w:hint="eastAsia" w:ascii="仿宋" w:hAnsi="仿宋" w:eastAsia="仿宋" w:cs="仿宋"/>
                <w:bCs/>
                <w:color w:val="auto"/>
                <w:kern w:val="2"/>
                <w:sz w:val="28"/>
                <w:szCs w:val="28"/>
                <w:lang w:val="en-US" w:eastAsia="zh-CN" w:bidi="ar-SA"/>
              </w:rPr>
            </w:pPr>
          </w:p>
        </w:tc>
      </w:tr>
      <w:tr w14:paraId="509B8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52311385">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12</w:t>
            </w:r>
          </w:p>
        </w:tc>
        <w:tc>
          <w:tcPr>
            <w:tcW w:w="2495" w:type="dxa"/>
            <w:shd w:val="clear" w:color="auto" w:fill="auto"/>
            <w:noWrap w:val="0"/>
            <w:vAlign w:val="center"/>
          </w:tcPr>
          <w:p w14:paraId="61091733">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14T监控硬盘</w:t>
            </w:r>
          </w:p>
        </w:tc>
        <w:tc>
          <w:tcPr>
            <w:tcW w:w="1328" w:type="dxa"/>
            <w:shd w:val="clear" w:color="auto" w:fill="auto"/>
            <w:noWrap w:val="0"/>
            <w:vAlign w:val="center"/>
          </w:tcPr>
          <w:p w14:paraId="71DB98B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03DD1714">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w:t>
            </w:r>
          </w:p>
        </w:tc>
        <w:tc>
          <w:tcPr>
            <w:tcW w:w="2002" w:type="dxa"/>
            <w:noWrap w:val="0"/>
            <w:vAlign w:val="center"/>
          </w:tcPr>
          <w:p w14:paraId="38A7D52C">
            <w:pPr>
              <w:jc w:val="center"/>
              <w:rPr>
                <w:rFonts w:hint="eastAsia" w:ascii="仿宋" w:hAnsi="仿宋" w:eastAsia="仿宋" w:cs="仿宋"/>
                <w:bCs/>
                <w:color w:val="auto"/>
                <w:kern w:val="2"/>
                <w:sz w:val="28"/>
                <w:szCs w:val="28"/>
                <w:lang w:val="en-US" w:eastAsia="zh-CN" w:bidi="ar-SA"/>
              </w:rPr>
            </w:pPr>
          </w:p>
        </w:tc>
      </w:tr>
      <w:tr w14:paraId="6B79F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7674662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13</w:t>
            </w:r>
          </w:p>
        </w:tc>
        <w:tc>
          <w:tcPr>
            <w:tcW w:w="2495" w:type="dxa"/>
            <w:shd w:val="clear" w:color="auto" w:fill="auto"/>
            <w:noWrap w:val="0"/>
            <w:vAlign w:val="center"/>
          </w:tcPr>
          <w:p w14:paraId="5F916939">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8路监控硬盘录像机</w:t>
            </w:r>
          </w:p>
        </w:tc>
        <w:tc>
          <w:tcPr>
            <w:tcW w:w="1328" w:type="dxa"/>
            <w:shd w:val="clear" w:color="auto" w:fill="auto"/>
            <w:noWrap w:val="0"/>
            <w:vAlign w:val="center"/>
          </w:tcPr>
          <w:p w14:paraId="3B78C05F">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台</w:t>
            </w:r>
          </w:p>
        </w:tc>
        <w:tc>
          <w:tcPr>
            <w:tcW w:w="1780" w:type="dxa"/>
            <w:noWrap w:val="0"/>
            <w:vAlign w:val="center"/>
          </w:tcPr>
          <w:p w14:paraId="6170451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w:t>
            </w:r>
          </w:p>
        </w:tc>
        <w:tc>
          <w:tcPr>
            <w:tcW w:w="2002" w:type="dxa"/>
            <w:noWrap w:val="0"/>
            <w:vAlign w:val="center"/>
          </w:tcPr>
          <w:p w14:paraId="75D78DBB">
            <w:pPr>
              <w:jc w:val="center"/>
              <w:rPr>
                <w:rFonts w:hint="eastAsia" w:ascii="仿宋" w:hAnsi="仿宋" w:eastAsia="仿宋" w:cs="仿宋"/>
                <w:bCs/>
                <w:color w:val="auto"/>
                <w:kern w:val="2"/>
                <w:sz w:val="28"/>
                <w:szCs w:val="28"/>
                <w:lang w:val="en-US" w:eastAsia="zh-CN" w:bidi="ar-SA"/>
              </w:rPr>
            </w:pPr>
          </w:p>
        </w:tc>
      </w:tr>
      <w:tr w14:paraId="6D47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541DE8E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14</w:t>
            </w:r>
          </w:p>
        </w:tc>
        <w:tc>
          <w:tcPr>
            <w:tcW w:w="2495" w:type="dxa"/>
            <w:shd w:val="clear" w:color="auto" w:fill="auto"/>
            <w:noWrap w:val="0"/>
            <w:vAlign w:val="center"/>
          </w:tcPr>
          <w:p w14:paraId="5B145DA1">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16路监控硬盘录像机</w:t>
            </w:r>
          </w:p>
        </w:tc>
        <w:tc>
          <w:tcPr>
            <w:tcW w:w="1328" w:type="dxa"/>
            <w:shd w:val="clear" w:color="auto" w:fill="auto"/>
            <w:noWrap w:val="0"/>
            <w:vAlign w:val="center"/>
          </w:tcPr>
          <w:p w14:paraId="28D6A256">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台</w:t>
            </w:r>
          </w:p>
        </w:tc>
        <w:tc>
          <w:tcPr>
            <w:tcW w:w="1780" w:type="dxa"/>
            <w:noWrap w:val="0"/>
            <w:vAlign w:val="center"/>
          </w:tcPr>
          <w:p w14:paraId="2333A0BD">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10ACCB76">
            <w:pPr>
              <w:jc w:val="center"/>
              <w:rPr>
                <w:rFonts w:hint="eastAsia" w:ascii="仿宋" w:hAnsi="仿宋" w:eastAsia="仿宋" w:cs="仿宋"/>
                <w:bCs/>
                <w:color w:val="auto"/>
                <w:kern w:val="2"/>
                <w:sz w:val="28"/>
                <w:szCs w:val="28"/>
                <w:lang w:val="en-US" w:eastAsia="zh-CN" w:bidi="ar-SA"/>
              </w:rPr>
            </w:pPr>
          </w:p>
        </w:tc>
      </w:tr>
      <w:tr w14:paraId="1B5B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5CB491F6">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15</w:t>
            </w:r>
          </w:p>
        </w:tc>
        <w:tc>
          <w:tcPr>
            <w:tcW w:w="2495" w:type="dxa"/>
            <w:shd w:val="clear" w:color="auto" w:fill="auto"/>
            <w:noWrap w:val="0"/>
            <w:vAlign w:val="center"/>
          </w:tcPr>
          <w:p w14:paraId="2EA0531B">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32路监控硬盘录像机</w:t>
            </w:r>
          </w:p>
        </w:tc>
        <w:tc>
          <w:tcPr>
            <w:tcW w:w="1328" w:type="dxa"/>
            <w:shd w:val="clear" w:color="auto" w:fill="auto"/>
            <w:noWrap w:val="0"/>
            <w:vAlign w:val="center"/>
          </w:tcPr>
          <w:p w14:paraId="5F665D7A">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台</w:t>
            </w:r>
          </w:p>
        </w:tc>
        <w:tc>
          <w:tcPr>
            <w:tcW w:w="1780" w:type="dxa"/>
            <w:noWrap w:val="0"/>
            <w:vAlign w:val="center"/>
          </w:tcPr>
          <w:p w14:paraId="588CFEF1">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0412D212">
            <w:pPr>
              <w:jc w:val="center"/>
              <w:rPr>
                <w:rFonts w:hint="eastAsia" w:ascii="仿宋" w:hAnsi="仿宋" w:eastAsia="仿宋" w:cs="仿宋"/>
                <w:bCs/>
                <w:color w:val="auto"/>
                <w:kern w:val="2"/>
                <w:sz w:val="28"/>
                <w:szCs w:val="28"/>
                <w:lang w:val="en-US" w:eastAsia="zh-CN" w:bidi="ar-SA"/>
              </w:rPr>
            </w:pPr>
          </w:p>
        </w:tc>
      </w:tr>
      <w:tr w14:paraId="0C7E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1A6E594C">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16</w:t>
            </w:r>
          </w:p>
        </w:tc>
        <w:tc>
          <w:tcPr>
            <w:tcW w:w="2495" w:type="dxa"/>
            <w:shd w:val="clear" w:color="auto" w:fill="auto"/>
            <w:noWrap w:val="0"/>
            <w:vAlign w:val="center"/>
          </w:tcPr>
          <w:p w14:paraId="11CD94EC">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64路监控硬盘录像机</w:t>
            </w:r>
          </w:p>
        </w:tc>
        <w:tc>
          <w:tcPr>
            <w:tcW w:w="1328" w:type="dxa"/>
            <w:shd w:val="clear" w:color="auto" w:fill="auto"/>
            <w:noWrap w:val="0"/>
            <w:vAlign w:val="center"/>
          </w:tcPr>
          <w:p w14:paraId="02DFFA99">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台</w:t>
            </w:r>
          </w:p>
        </w:tc>
        <w:tc>
          <w:tcPr>
            <w:tcW w:w="1780" w:type="dxa"/>
            <w:noWrap w:val="0"/>
            <w:vAlign w:val="center"/>
          </w:tcPr>
          <w:p w14:paraId="1522A20B">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4727CBA0">
            <w:pPr>
              <w:jc w:val="center"/>
              <w:rPr>
                <w:rFonts w:hint="eastAsia" w:ascii="仿宋" w:hAnsi="仿宋" w:eastAsia="仿宋" w:cs="仿宋"/>
                <w:bCs/>
                <w:color w:val="auto"/>
                <w:kern w:val="2"/>
                <w:sz w:val="28"/>
                <w:szCs w:val="28"/>
                <w:lang w:val="en-US" w:eastAsia="zh-CN" w:bidi="ar-SA"/>
              </w:rPr>
            </w:pPr>
          </w:p>
        </w:tc>
      </w:tr>
      <w:tr w14:paraId="3058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4D42EC2F">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17</w:t>
            </w:r>
          </w:p>
        </w:tc>
        <w:tc>
          <w:tcPr>
            <w:tcW w:w="2495" w:type="dxa"/>
            <w:shd w:val="clear" w:color="auto" w:fill="auto"/>
            <w:noWrap w:val="0"/>
            <w:vAlign w:val="center"/>
          </w:tcPr>
          <w:p w14:paraId="239DB23D">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8芯光电复合缆</w:t>
            </w:r>
          </w:p>
        </w:tc>
        <w:tc>
          <w:tcPr>
            <w:tcW w:w="1328" w:type="dxa"/>
            <w:shd w:val="clear" w:color="auto" w:fill="auto"/>
            <w:noWrap w:val="0"/>
            <w:vAlign w:val="center"/>
          </w:tcPr>
          <w:p w14:paraId="3CC909C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米</w:t>
            </w:r>
          </w:p>
        </w:tc>
        <w:tc>
          <w:tcPr>
            <w:tcW w:w="1780" w:type="dxa"/>
            <w:noWrap w:val="0"/>
            <w:vAlign w:val="center"/>
          </w:tcPr>
          <w:p w14:paraId="7244712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100</w:t>
            </w:r>
          </w:p>
        </w:tc>
        <w:tc>
          <w:tcPr>
            <w:tcW w:w="2002" w:type="dxa"/>
            <w:noWrap w:val="0"/>
            <w:vAlign w:val="center"/>
          </w:tcPr>
          <w:p w14:paraId="12ED1276">
            <w:pPr>
              <w:jc w:val="center"/>
              <w:rPr>
                <w:rFonts w:hint="eastAsia" w:ascii="仿宋" w:hAnsi="仿宋" w:eastAsia="仿宋" w:cs="仿宋"/>
                <w:bCs/>
                <w:color w:val="auto"/>
                <w:kern w:val="2"/>
                <w:sz w:val="28"/>
                <w:szCs w:val="28"/>
                <w:lang w:val="en-US" w:eastAsia="zh-CN" w:bidi="ar-SA"/>
              </w:rPr>
            </w:pPr>
          </w:p>
        </w:tc>
      </w:tr>
      <w:tr w14:paraId="77729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43A58BA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18</w:t>
            </w:r>
          </w:p>
        </w:tc>
        <w:tc>
          <w:tcPr>
            <w:tcW w:w="2495" w:type="dxa"/>
            <w:shd w:val="clear" w:color="auto" w:fill="auto"/>
            <w:noWrap w:val="0"/>
            <w:vAlign w:val="center"/>
          </w:tcPr>
          <w:p w14:paraId="71ED1459">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24口交换机</w:t>
            </w:r>
          </w:p>
        </w:tc>
        <w:tc>
          <w:tcPr>
            <w:tcW w:w="1328" w:type="dxa"/>
            <w:shd w:val="clear" w:color="auto" w:fill="auto"/>
            <w:noWrap w:val="0"/>
            <w:vAlign w:val="center"/>
          </w:tcPr>
          <w:p w14:paraId="56F15242">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66F06BF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w:t>
            </w:r>
          </w:p>
        </w:tc>
        <w:tc>
          <w:tcPr>
            <w:tcW w:w="2002" w:type="dxa"/>
            <w:noWrap w:val="0"/>
            <w:vAlign w:val="center"/>
          </w:tcPr>
          <w:p w14:paraId="02D07A40">
            <w:pPr>
              <w:jc w:val="center"/>
              <w:rPr>
                <w:rFonts w:hint="eastAsia" w:ascii="仿宋" w:hAnsi="仿宋" w:eastAsia="仿宋" w:cs="仿宋"/>
                <w:bCs/>
                <w:color w:val="auto"/>
                <w:kern w:val="2"/>
                <w:sz w:val="28"/>
                <w:szCs w:val="28"/>
                <w:lang w:val="en-US" w:eastAsia="zh-CN" w:bidi="ar-SA"/>
              </w:rPr>
            </w:pPr>
          </w:p>
        </w:tc>
      </w:tr>
      <w:tr w14:paraId="3438E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2EDC028C">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19</w:t>
            </w:r>
          </w:p>
        </w:tc>
        <w:tc>
          <w:tcPr>
            <w:tcW w:w="2495" w:type="dxa"/>
            <w:shd w:val="clear" w:color="auto" w:fill="auto"/>
            <w:noWrap w:val="0"/>
            <w:vAlign w:val="center"/>
          </w:tcPr>
          <w:p w14:paraId="1AD17B3C">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监控管理服务器主板</w:t>
            </w:r>
          </w:p>
        </w:tc>
        <w:tc>
          <w:tcPr>
            <w:tcW w:w="1328" w:type="dxa"/>
            <w:shd w:val="clear" w:color="auto" w:fill="auto"/>
            <w:noWrap w:val="0"/>
            <w:vAlign w:val="center"/>
          </w:tcPr>
          <w:p w14:paraId="65902E02">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张</w:t>
            </w:r>
          </w:p>
        </w:tc>
        <w:tc>
          <w:tcPr>
            <w:tcW w:w="1780" w:type="dxa"/>
            <w:noWrap w:val="0"/>
            <w:vAlign w:val="center"/>
          </w:tcPr>
          <w:p w14:paraId="454D61EF">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413A30C3">
            <w:pPr>
              <w:jc w:val="center"/>
              <w:rPr>
                <w:rFonts w:hint="eastAsia" w:ascii="仿宋" w:hAnsi="仿宋" w:eastAsia="仿宋" w:cs="仿宋"/>
                <w:bCs/>
                <w:color w:val="auto"/>
                <w:kern w:val="2"/>
                <w:sz w:val="28"/>
                <w:szCs w:val="28"/>
                <w:lang w:val="en-US" w:eastAsia="zh-CN" w:bidi="ar-SA"/>
              </w:rPr>
            </w:pPr>
          </w:p>
        </w:tc>
      </w:tr>
      <w:tr w14:paraId="0521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56E7BCBE">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20</w:t>
            </w:r>
          </w:p>
        </w:tc>
        <w:tc>
          <w:tcPr>
            <w:tcW w:w="2495" w:type="dxa"/>
            <w:shd w:val="clear" w:color="auto" w:fill="auto"/>
            <w:noWrap w:val="0"/>
            <w:vAlign w:val="center"/>
          </w:tcPr>
          <w:p w14:paraId="6C01B8A2">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EVS主板</w:t>
            </w:r>
          </w:p>
        </w:tc>
        <w:tc>
          <w:tcPr>
            <w:tcW w:w="1328" w:type="dxa"/>
            <w:shd w:val="clear" w:color="auto" w:fill="auto"/>
            <w:noWrap w:val="0"/>
            <w:vAlign w:val="center"/>
          </w:tcPr>
          <w:p w14:paraId="38E3A6C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张</w:t>
            </w:r>
          </w:p>
        </w:tc>
        <w:tc>
          <w:tcPr>
            <w:tcW w:w="1780" w:type="dxa"/>
            <w:noWrap w:val="0"/>
            <w:vAlign w:val="center"/>
          </w:tcPr>
          <w:p w14:paraId="7CC4F9F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5BC2A829">
            <w:pPr>
              <w:jc w:val="center"/>
              <w:rPr>
                <w:rFonts w:hint="eastAsia" w:ascii="仿宋" w:hAnsi="仿宋" w:eastAsia="仿宋" w:cs="仿宋"/>
                <w:bCs/>
                <w:color w:val="auto"/>
                <w:kern w:val="2"/>
                <w:sz w:val="28"/>
                <w:szCs w:val="28"/>
                <w:lang w:val="en-US" w:eastAsia="zh-CN" w:bidi="ar-SA"/>
              </w:rPr>
            </w:pPr>
          </w:p>
        </w:tc>
      </w:tr>
      <w:tr w14:paraId="5CA5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2093B53D">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21</w:t>
            </w:r>
          </w:p>
        </w:tc>
        <w:tc>
          <w:tcPr>
            <w:tcW w:w="2495" w:type="dxa"/>
            <w:shd w:val="clear" w:color="auto" w:fill="auto"/>
            <w:noWrap w:val="0"/>
            <w:vAlign w:val="center"/>
          </w:tcPr>
          <w:p w14:paraId="2103416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解码器主板</w:t>
            </w:r>
          </w:p>
        </w:tc>
        <w:tc>
          <w:tcPr>
            <w:tcW w:w="1328" w:type="dxa"/>
            <w:shd w:val="clear" w:color="auto" w:fill="auto"/>
            <w:noWrap w:val="0"/>
            <w:vAlign w:val="center"/>
          </w:tcPr>
          <w:p w14:paraId="1608AF77">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张</w:t>
            </w:r>
          </w:p>
        </w:tc>
        <w:tc>
          <w:tcPr>
            <w:tcW w:w="1780" w:type="dxa"/>
            <w:noWrap w:val="0"/>
            <w:vAlign w:val="center"/>
          </w:tcPr>
          <w:p w14:paraId="5F9E6E0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3B83BB71">
            <w:pPr>
              <w:jc w:val="center"/>
              <w:rPr>
                <w:rFonts w:hint="eastAsia" w:ascii="仿宋" w:hAnsi="仿宋" w:eastAsia="仿宋" w:cs="仿宋"/>
                <w:bCs/>
                <w:color w:val="auto"/>
                <w:kern w:val="2"/>
                <w:sz w:val="28"/>
                <w:szCs w:val="28"/>
                <w:lang w:val="en-US" w:eastAsia="zh-CN" w:bidi="ar-SA"/>
              </w:rPr>
            </w:pPr>
          </w:p>
        </w:tc>
      </w:tr>
      <w:tr w14:paraId="64B4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777A2DDC">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22</w:t>
            </w:r>
          </w:p>
        </w:tc>
        <w:tc>
          <w:tcPr>
            <w:tcW w:w="2495" w:type="dxa"/>
            <w:shd w:val="clear" w:color="auto" w:fill="auto"/>
            <w:noWrap w:val="0"/>
            <w:vAlign w:val="center"/>
          </w:tcPr>
          <w:p w14:paraId="4D7F8DBB">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监控管理服务器电源</w:t>
            </w:r>
          </w:p>
        </w:tc>
        <w:tc>
          <w:tcPr>
            <w:tcW w:w="1328" w:type="dxa"/>
            <w:shd w:val="clear" w:color="auto" w:fill="auto"/>
            <w:noWrap w:val="0"/>
            <w:vAlign w:val="center"/>
          </w:tcPr>
          <w:p w14:paraId="320181A4">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01373CFA">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5F60C25A">
            <w:pPr>
              <w:jc w:val="center"/>
              <w:rPr>
                <w:rFonts w:hint="eastAsia" w:ascii="仿宋" w:hAnsi="仿宋" w:eastAsia="仿宋" w:cs="仿宋"/>
                <w:bCs/>
                <w:color w:val="auto"/>
                <w:kern w:val="2"/>
                <w:sz w:val="28"/>
                <w:szCs w:val="28"/>
                <w:lang w:val="en-US" w:eastAsia="zh-CN" w:bidi="ar-SA"/>
              </w:rPr>
            </w:pPr>
          </w:p>
        </w:tc>
      </w:tr>
      <w:tr w14:paraId="3068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016266A0">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23</w:t>
            </w:r>
          </w:p>
        </w:tc>
        <w:tc>
          <w:tcPr>
            <w:tcW w:w="2495" w:type="dxa"/>
            <w:shd w:val="clear" w:color="auto" w:fill="auto"/>
            <w:noWrap w:val="0"/>
            <w:vAlign w:val="center"/>
          </w:tcPr>
          <w:p w14:paraId="431D1BF5">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EVS电源</w:t>
            </w:r>
          </w:p>
        </w:tc>
        <w:tc>
          <w:tcPr>
            <w:tcW w:w="1328" w:type="dxa"/>
            <w:shd w:val="clear" w:color="auto" w:fill="auto"/>
            <w:noWrap w:val="0"/>
            <w:vAlign w:val="center"/>
          </w:tcPr>
          <w:p w14:paraId="1898BB95">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787BF9AA">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1C1FF197">
            <w:pPr>
              <w:jc w:val="center"/>
              <w:rPr>
                <w:rFonts w:hint="eastAsia" w:ascii="仿宋" w:hAnsi="仿宋" w:eastAsia="仿宋" w:cs="仿宋"/>
                <w:bCs/>
                <w:color w:val="auto"/>
                <w:kern w:val="2"/>
                <w:sz w:val="28"/>
                <w:szCs w:val="28"/>
                <w:lang w:val="en-US" w:eastAsia="zh-CN" w:bidi="ar-SA"/>
              </w:rPr>
            </w:pPr>
          </w:p>
        </w:tc>
      </w:tr>
      <w:tr w14:paraId="5C363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31F130D2">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24</w:t>
            </w:r>
          </w:p>
        </w:tc>
        <w:tc>
          <w:tcPr>
            <w:tcW w:w="2495" w:type="dxa"/>
            <w:shd w:val="clear" w:color="auto" w:fill="auto"/>
            <w:noWrap w:val="0"/>
            <w:vAlign w:val="center"/>
          </w:tcPr>
          <w:p w14:paraId="567516DD">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解码器电源</w:t>
            </w:r>
          </w:p>
        </w:tc>
        <w:tc>
          <w:tcPr>
            <w:tcW w:w="1328" w:type="dxa"/>
            <w:shd w:val="clear" w:color="auto" w:fill="auto"/>
            <w:noWrap w:val="0"/>
            <w:vAlign w:val="center"/>
          </w:tcPr>
          <w:p w14:paraId="1A2F620A">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53C0D8B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14FE7326">
            <w:pPr>
              <w:jc w:val="center"/>
              <w:rPr>
                <w:rFonts w:hint="eastAsia" w:ascii="仿宋" w:hAnsi="仿宋" w:eastAsia="仿宋" w:cs="仿宋"/>
                <w:bCs/>
                <w:color w:val="auto"/>
                <w:kern w:val="2"/>
                <w:sz w:val="28"/>
                <w:szCs w:val="28"/>
                <w:lang w:val="en-US" w:eastAsia="zh-CN" w:bidi="ar-SA"/>
              </w:rPr>
            </w:pPr>
          </w:p>
        </w:tc>
      </w:tr>
      <w:tr w14:paraId="6B01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3404D99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25</w:t>
            </w:r>
          </w:p>
        </w:tc>
        <w:tc>
          <w:tcPr>
            <w:tcW w:w="2495" w:type="dxa"/>
            <w:shd w:val="clear" w:color="auto" w:fill="auto"/>
            <w:noWrap w:val="0"/>
            <w:vAlign w:val="center"/>
          </w:tcPr>
          <w:p w14:paraId="1ED71D77">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4G紧急报警器</w:t>
            </w:r>
          </w:p>
        </w:tc>
        <w:tc>
          <w:tcPr>
            <w:tcW w:w="1328" w:type="dxa"/>
            <w:shd w:val="clear" w:color="auto" w:fill="auto"/>
            <w:noWrap w:val="0"/>
            <w:vAlign w:val="center"/>
          </w:tcPr>
          <w:p w14:paraId="0098CB59">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135B242D">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5</w:t>
            </w:r>
          </w:p>
        </w:tc>
        <w:tc>
          <w:tcPr>
            <w:tcW w:w="2002" w:type="dxa"/>
            <w:noWrap w:val="0"/>
            <w:vAlign w:val="center"/>
          </w:tcPr>
          <w:p w14:paraId="6C24C9E6">
            <w:pPr>
              <w:jc w:val="center"/>
              <w:rPr>
                <w:rFonts w:hint="eastAsia" w:ascii="仿宋" w:hAnsi="仿宋" w:eastAsia="仿宋" w:cs="仿宋"/>
                <w:bCs/>
                <w:color w:val="auto"/>
                <w:kern w:val="2"/>
                <w:sz w:val="28"/>
                <w:szCs w:val="28"/>
                <w:lang w:val="en-US" w:eastAsia="zh-CN" w:bidi="ar-SA"/>
              </w:rPr>
            </w:pPr>
          </w:p>
        </w:tc>
      </w:tr>
      <w:tr w14:paraId="450A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7237AFA2">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26</w:t>
            </w:r>
          </w:p>
        </w:tc>
        <w:tc>
          <w:tcPr>
            <w:tcW w:w="2495" w:type="dxa"/>
            <w:shd w:val="clear" w:color="auto" w:fill="auto"/>
            <w:noWrap w:val="0"/>
            <w:vAlign w:val="center"/>
          </w:tcPr>
          <w:p w14:paraId="0443712D">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4G红外人体感应器</w:t>
            </w:r>
          </w:p>
        </w:tc>
        <w:tc>
          <w:tcPr>
            <w:tcW w:w="1328" w:type="dxa"/>
            <w:shd w:val="clear" w:color="auto" w:fill="auto"/>
            <w:noWrap w:val="0"/>
            <w:vAlign w:val="center"/>
          </w:tcPr>
          <w:p w14:paraId="79829B12">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个</w:t>
            </w:r>
          </w:p>
        </w:tc>
        <w:tc>
          <w:tcPr>
            <w:tcW w:w="1780" w:type="dxa"/>
            <w:noWrap w:val="0"/>
            <w:vAlign w:val="center"/>
          </w:tcPr>
          <w:p w14:paraId="3BE59236">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10</w:t>
            </w:r>
          </w:p>
        </w:tc>
        <w:tc>
          <w:tcPr>
            <w:tcW w:w="2002" w:type="dxa"/>
            <w:noWrap w:val="0"/>
            <w:vAlign w:val="center"/>
          </w:tcPr>
          <w:p w14:paraId="020FEA21">
            <w:pPr>
              <w:jc w:val="center"/>
              <w:rPr>
                <w:rFonts w:hint="eastAsia" w:ascii="仿宋" w:hAnsi="仿宋" w:eastAsia="仿宋" w:cs="仿宋"/>
                <w:bCs/>
                <w:color w:val="auto"/>
                <w:kern w:val="2"/>
                <w:sz w:val="28"/>
                <w:szCs w:val="28"/>
                <w:lang w:val="en-US" w:eastAsia="zh-CN" w:bidi="ar-SA"/>
              </w:rPr>
            </w:pPr>
          </w:p>
        </w:tc>
      </w:tr>
      <w:tr w14:paraId="09F21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1366" w:type="dxa"/>
            <w:noWrap w:val="0"/>
            <w:vAlign w:val="center"/>
          </w:tcPr>
          <w:p w14:paraId="284F6088">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27</w:t>
            </w:r>
          </w:p>
        </w:tc>
        <w:tc>
          <w:tcPr>
            <w:tcW w:w="2495" w:type="dxa"/>
            <w:shd w:val="clear" w:color="auto" w:fill="auto"/>
            <w:noWrap w:val="0"/>
            <w:vAlign w:val="center"/>
          </w:tcPr>
          <w:p w14:paraId="513E09E3">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安防系统运维服务</w:t>
            </w:r>
          </w:p>
        </w:tc>
        <w:tc>
          <w:tcPr>
            <w:tcW w:w="1328" w:type="dxa"/>
            <w:shd w:val="clear" w:color="auto" w:fill="auto"/>
            <w:noWrap w:val="0"/>
            <w:vAlign w:val="center"/>
          </w:tcPr>
          <w:p w14:paraId="2A29C952">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年</w:t>
            </w:r>
          </w:p>
        </w:tc>
        <w:tc>
          <w:tcPr>
            <w:tcW w:w="1780" w:type="dxa"/>
            <w:noWrap w:val="0"/>
            <w:vAlign w:val="center"/>
          </w:tcPr>
          <w:p w14:paraId="0BF1BA46">
            <w:pPr>
              <w:keepNext w:val="0"/>
              <w:keepLines w:val="0"/>
              <w:widowControl/>
              <w:suppressLineNumbers w:val="0"/>
              <w:jc w:val="center"/>
              <w:textAlignment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i w:val="0"/>
                <w:iCs w:val="0"/>
                <w:color w:val="000000"/>
                <w:kern w:val="0"/>
                <w:sz w:val="28"/>
                <w:szCs w:val="28"/>
                <w:u w:val="none"/>
                <w:lang w:val="en-US" w:eastAsia="zh-CN" w:bidi="ar"/>
              </w:rPr>
              <w:t>1</w:t>
            </w:r>
          </w:p>
        </w:tc>
        <w:tc>
          <w:tcPr>
            <w:tcW w:w="2002" w:type="dxa"/>
            <w:noWrap w:val="0"/>
            <w:vAlign w:val="center"/>
          </w:tcPr>
          <w:p w14:paraId="1F60724F">
            <w:pPr>
              <w:jc w:val="center"/>
              <w:rPr>
                <w:rFonts w:hint="eastAsia" w:ascii="仿宋" w:hAnsi="仿宋" w:eastAsia="仿宋" w:cs="仿宋"/>
                <w:bCs/>
                <w:color w:val="auto"/>
                <w:kern w:val="2"/>
                <w:sz w:val="28"/>
                <w:szCs w:val="28"/>
                <w:lang w:val="en-US" w:eastAsia="zh-CN" w:bidi="ar-SA"/>
              </w:rPr>
            </w:pPr>
          </w:p>
        </w:tc>
      </w:tr>
      <w:tr w14:paraId="3A34D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8971" w:type="dxa"/>
            <w:gridSpan w:val="5"/>
            <w:noWrap w:val="0"/>
            <w:vAlign w:val="center"/>
          </w:tcPr>
          <w:p w14:paraId="3477F491">
            <w:pPr>
              <w:jc w:val="center"/>
              <w:rPr>
                <w:rFonts w:hint="eastAsia" w:ascii="仿宋" w:hAnsi="仿宋" w:eastAsia="仿宋" w:cs="仿宋"/>
                <w:bCs/>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大写总价：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lang w:val="en-US" w:eastAsia="zh-CN" w:bidi="ar-SA"/>
              </w:rPr>
              <w:t>（元）；小写总价：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lang w:val="en-US" w:eastAsia="zh-CN" w:bidi="ar-SA"/>
              </w:rPr>
              <w:t>（万元）</w:t>
            </w:r>
          </w:p>
        </w:tc>
      </w:tr>
    </w:tbl>
    <w:p w14:paraId="3D583E2C">
      <w:pPr>
        <w:rPr>
          <w:rFonts w:hint="eastAsia" w:ascii="Calibri" w:hAnsi="Calibri"/>
          <w:b/>
          <w:bCs/>
          <w:color w:val="auto"/>
          <w:sz w:val="32"/>
          <w:szCs w:val="32"/>
          <w:lang w:val="en-US" w:eastAsia="zh-CN"/>
        </w:rPr>
      </w:pPr>
    </w:p>
    <w:p w14:paraId="3D243167">
      <w:pPr>
        <w:jc w:val="left"/>
        <w:rPr>
          <w:rFonts w:hint="eastAsia" w:ascii="仿宋" w:hAnsi="仿宋" w:eastAsia="仿宋" w:cs="Times New Roman"/>
          <w:color w:val="0000FF"/>
          <w:kern w:val="2"/>
          <w:sz w:val="28"/>
          <w:szCs w:val="28"/>
          <w:lang w:val="en-US" w:eastAsia="zh-CN" w:bidi="ar-SA"/>
        </w:rPr>
      </w:pPr>
      <w:r>
        <w:rPr>
          <w:rFonts w:hint="eastAsia" w:ascii="仿宋" w:hAnsi="仿宋" w:eastAsia="仿宋" w:cs="Times New Roman"/>
          <w:color w:val="auto"/>
          <w:kern w:val="2"/>
          <w:sz w:val="28"/>
          <w:szCs w:val="28"/>
          <w:lang w:val="en-US" w:eastAsia="zh-CN" w:bidi="ar-SA"/>
        </w:rPr>
        <w:t>备注：报价表如有列举项目不全的，各报价公司可以在原表上添项，不能改变原表格内容，报价表最多保留小数点后两位。报价合计总价在列表末汇总，此报价单须单独密封。</w:t>
      </w:r>
    </w:p>
    <w:p w14:paraId="12DB5892">
      <w:pPr>
        <w:rPr>
          <w:rFonts w:hint="eastAsia"/>
          <w:color w:val="auto"/>
          <w:lang w:val="en-US" w:eastAsia="zh-CN"/>
        </w:rPr>
      </w:pPr>
      <w:r>
        <w:rPr>
          <w:rFonts w:hint="eastAsia"/>
          <w:color w:val="auto"/>
          <w:lang w:val="en-US" w:eastAsia="zh-CN"/>
        </w:rPr>
        <w:br w:type="page"/>
      </w:r>
    </w:p>
    <w:p w14:paraId="37AC5681">
      <w:pPr>
        <w:spacing w:line="360" w:lineRule="auto"/>
        <w:outlineLvl w:val="1"/>
        <w:rPr>
          <w:color w:val="auto"/>
        </w:rPr>
      </w:pPr>
      <w:r>
        <w:rPr>
          <w:rFonts w:hint="eastAsia" w:ascii="黑体" w:hAnsi="黑体" w:eastAsia="黑体" w:cs="黑体"/>
          <w:color w:val="auto"/>
          <w:kern w:val="2"/>
          <w:sz w:val="32"/>
          <w:szCs w:val="32"/>
          <w:lang w:val="en-US" w:eastAsia="zh-CN" w:bidi="ar-SA"/>
        </w:rPr>
        <w:t>附件3：报名登记表</w:t>
      </w:r>
    </w:p>
    <w:p w14:paraId="11D5D951">
      <w:pPr>
        <w:jc w:val="center"/>
        <w:rPr>
          <w:rFonts w:ascii="华文中宋" w:hAnsi="华文中宋" w:eastAsia="华文中宋"/>
          <w:b/>
          <w:color w:val="auto"/>
          <w:sz w:val="36"/>
          <w:szCs w:val="36"/>
        </w:rPr>
      </w:pPr>
      <w:r>
        <w:rPr>
          <w:rFonts w:hint="eastAsia" w:ascii="华文中宋" w:hAnsi="华文中宋" w:eastAsia="华文中宋"/>
          <w:b/>
          <w:color w:val="auto"/>
          <w:sz w:val="36"/>
          <w:szCs w:val="36"/>
        </w:rPr>
        <w:t>报名登记表</w:t>
      </w:r>
    </w:p>
    <w:tbl>
      <w:tblPr>
        <w:tblStyle w:val="16"/>
        <w:tblpPr w:leftFromText="180" w:rightFromText="180" w:vertAnchor="text" w:horzAnchor="page" w:tblpX="1275" w:tblpY="100"/>
        <w:tblOverlap w:val="never"/>
        <w:tblW w:w="9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7"/>
        <w:gridCol w:w="1990"/>
        <w:gridCol w:w="1447"/>
        <w:gridCol w:w="2605"/>
      </w:tblGrid>
      <w:tr w14:paraId="6E79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4025D73">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报名项目名称（包号）</w:t>
            </w:r>
          </w:p>
        </w:tc>
        <w:tc>
          <w:tcPr>
            <w:tcW w:w="6042" w:type="dxa"/>
            <w:gridSpan w:val="3"/>
            <w:tcBorders>
              <w:top w:val="single" w:color="auto" w:sz="4" w:space="0"/>
              <w:left w:val="single" w:color="auto" w:sz="4" w:space="0"/>
              <w:bottom w:val="single" w:color="auto" w:sz="4" w:space="0"/>
              <w:right w:val="single" w:color="auto" w:sz="4" w:space="0"/>
            </w:tcBorders>
            <w:noWrap w:val="0"/>
            <w:vAlign w:val="center"/>
          </w:tcPr>
          <w:p w14:paraId="4018E5F4">
            <w:pPr>
              <w:pStyle w:val="6"/>
              <w:jc w:val="center"/>
              <w:rPr>
                <w:rFonts w:hint="eastAsia" w:ascii="仿宋" w:hAnsi="仿宋" w:eastAsia="仿宋"/>
                <w:color w:val="auto"/>
                <w:kern w:val="2"/>
                <w:sz w:val="28"/>
                <w:szCs w:val="28"/>
                <w:lang w:val="en-US" w:eastAsia="zh-CN"/>
              </w:rPr>
            </w:pPr>
            <w:r>
              <w:rPr>
                <w:rFonts w:hint="eastAsia" w:ascii="仿宋" w:hAnsi="仿宋" w:eastAsia="仿宋"/>
                <w:color w:val="auto"/>
                <w:kern w:val="2"/>
                <w:sz w:val="28"/>
                <w:szCs w:val="28"/>
                <w:lang w:val="en-US" w:eastAsia="zh-CN"/>
              </w:rPr>
              <w:t>成都市新津区中医医院安防系统运维服务采购项目询预算价</w:t>
            </w:r>
            <w:bookmarkStart w:id="2" w:name="_GoBack"/>
            <w:bookmarkEnd w:id="2"/>
          </w:p>
        </w:tc>
      </w:tr>
      <w:tr w14:paraId="4A90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BD3EAE">
            <w:pPr>
              <w:ind w:firstLine="280" w:firstLineChars="100"/>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报名单位 /个人名称</w:t>
            </w:r>
          </w:p>
          <w:p w14:paraId="0CD2B98E">
            <w:pPr>
              <w:ind w:firstLine="236" w:firstLineChars="98"/>
              <w:rPr>
                <w:rFonts w:ascii="仿宋" w:hAnsi="仿宋" w:eastAsia="仿宋"/>
                <w:b/>
                <w:color w:val="auto"/>
                <w:kern w:val="2"/>
                <w:sz w:val="24"/>
                <w:szCs w:val="24"/>
              </w:rPr>
            </w:pPr>
            <w:r>
              <w:rPr>
                <w:rFonts w:hint="eastAsia" w:ascii="仿宋" w:hAnsi="仿宋" w:eastAsia="仿宋"/>
                <w:b/>
                <w:color w:val="auto"/>
                <w:kern w:val="2"/>
                <w:sz w:val="24"/>
                <w:szCs w:val="22"/>
              </w:rPr>
              <w:t>(统一社会信用代码/税号)</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61543E9F">
            <w:pPr>
              <w:jc w:val="center"/>
              <w:rPr>
                <w:rFonts w:hint="default" w:ascii="仿宋" w:hAnsi="仿宋" w:eastAsia="仿宋"/>
                <w:color w:val="auto"/>
                <w:kern w:val="2"/>
                <w:sz w:val="28"/>
                <w:szCs w:val="28"/>
                <w:lang w:val="en-US" w:eastAsia="zh-CN"/>
              </w:rPr>
            </w:pPr>
            <w:r>
              <w:rPr>
                <w:rFonts w:hint="eastAsia"/>
                <w:color w:val="auto"/>
                <w:kern w:val="2"/>
                <w:sz w:val="28"/>
                <w:szCs w:val="28"/>
                <w:lang w:val="en-US" w:eastAsia="zh-CN"/>
              </w:rPr>
              <w:t xml:space="preserve">                              （盖章）</w:t>
            </w:r>
          </w:p>
        </w:tc>
      </w:tr>
      <w:tr w14:paraId="27FF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2A20BC">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单位  / 个人地址</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12FF0918">
            <w:pPr>
              <w:jc w:val="center"/>
              <w:rPr>
                <w:rFonts w:ascii="仿宋" w:hAnsi="仿宋" w:eastAsia="仿宋"/>
                <w:color w:val="auto"/>
                <w:kern w:val="2"/>
                <w:sz w:val="28"/>
                <w:szCs w:val="28"/>
              </w:rPr>
            </w:pPr>
          </w:p>
        </w:tc>
      </w:tr>
      <w:tr w14:paraId="74FA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2A8C20EF">
            <w:pPr>
              <w:jc w:val="center"/>
              <w:rPr>
                <w:rFonts w:hint="eastAsia" w:ascii="仿宋" w:hAnsi="仿宋" w:eastAsia="仿宋"/>
                <w:color w:val="auto"/>
                <w:kern w:val="2"/>
                <w:sz w:val="28"/>
                <w:szCs w:val="28"/>
                <w:lang w:eastAsia="zh-CN"/>
              </w:rPr>
            </w:pPr>
            <w:r>
              <w:rPr>
                <w:rFonts w:hint="eastAsia" w:ascii="仿宋" w:hAnsi="仿宋" w:eastAsia="仿宋"/>
                <w:color w:val="auto"/>
                <w:kern w:val="2"/>
                <w:sz w:val="28"/>
                <w:szCs w:val="28"/>
              </w:rPr>
              <w:t>单位电话</w:t>
            </w:r>
            <w:r>
              <w:rPr>
                <w:rFonts w:hint="eastAsia" w:ascii="仿宋" w:hAnsi="仿宋" w:eastAsia="仿宋"/>
                <w:color w:val="auto"/>
                <w:kern w:val="2"/>
                <w:sz w:val="24"/>
                <w:szCs w:val="22"/>
              </w:rPr>
              <w:t xml:space="preserve"> </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0857CFC7">
            <w:pPr>
              <w:rPr>
                <w:rFonts w:ascii="仿宋" w:hAnsi="仿宋" w:eastAsia="仿宋"/>
                <w:color w:val="auto"/>
                <w:kern w:val="2"/>
                <w:sz w:val="24"/>
                <w:szCs w:val="24"/>
              </w:rPr>
            </w:pPr>
          </w:p>
        </w:tc>
      </w:tr>
      <w:tr w14:paraId="31CB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186C4445">
            <w:pPr>
              <w:jc w:val="center"/>
              <w:rPr>
                <w:rFonts w:ascii="仿宋" w:hAnsi="仿宋" w:eastAsia="仿宋"/>
                <w:color w:val="auto"/>
                <w:kern w:val="2"/>
                <w:sz w:val="28"/>
                <w:szCs w:val="28"/>
              </w:rPr>
            </w:pPr>
            <w:r>
              <w:rPr>
                <w:rFonts w:hint="eastAsia"/>
                <w:color w:val="auto"/>
                <w:kern w:val="2"/>
                <w:sz w:val="28"/>
                <w:szCs w:val="28"/>
                <w:lang w:val="en-US" w:eastAsia="zh-CN"/>
              </w:rPr>
              <w:t>*经办</w:t>
            </w:r>
            <w:r>
              <w:rPr>
                <w:rFonts w:hint="eastAsia" w:ascii="仿宋" w:hAnsi="仿宋" w:eastAsia="仿宋"/>
                <w:color w:val="auto"/>
                <w:kern w:val="2"/>
                <w:sz w:val="28"/>
                <w:szCs w:val="28"/>
              </w:rPr>
              <w:t>联系人</w:t>
            </w:r>
          </w:p>
        </w:tc>
        <w:tc>
          <w:tcPr>
            <w:tcW w:w="1990" w:type="dxa"/>
            <w:tcBorders>
              <w:top w:val="single" w:color="auto" w:sz="4" w:space="0"/>
              <w:left w:val="single" w:color="auto" w:sz="4" w:space="0"/>
              <w:bottom w:val="single" w:color="auto" w:sz="4" w:space="0"/>
              <w:right w:val="single" w:color="auto" w:sz="4" w:space="0"/>
            </w:tcBorders>
            <w:noWrap w:val="0"/>
            <w:vAlign w:val="top"/>
          </w:tcPr>
          <w:p w14:paraId="1A96C5A9">
            <w:pPr>
              <w:jc w:val="center"/>
              <w:rPr>
                <w:rFonts w:ascii="仿宋" w:hAnsi="仿宋" w:eastAsia="仿宋"/>
                <w:color w:val="auto"/>
                <w:kern w:val="2"/>
                <w:sz w:val="28"/>
                <w:szCs w:val="28"/>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5755E6C">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手 机</w:t>
            </w:r>
          </w:p>
        </w:tc>
        <w:tc>
          <w:tcPr>
            <w:tcW w:w="2605" w:type="dxa"/>
            <w:tcBorders>
              <w:top w:val="single" w:color="auto" w:sz="4" w:space="0"/>
              <w:left w:val="single" w:color="auto" w:sz="4" w:space="0"/>
              <w:bottom w:val="single" w:color="auto" w:sz="4" w:space="0"/>
              <w:right w:val="single" w:color="auto" w:sz="4" w:space="0"/>
            </w:tcBorders>
            <w:noWrap w:val="0"/>
            <w:vAlign w:val="top"/>
          </w:tcPr>
          <w:p w14:paraId="79394D50">
            <w:pPr>
              <w:jc w:val="center"/>
              <w:rPr>
                <w:rFonts w:ascii="仿宋" w:hAnsi="仿宋" w:eastAsia="仿宋"/>
                <w:color w:val="auto"/>
                <w:kern w:val="2"/>
                <w:sz w:val="28"/>
                <w:szCs w:val="28"/>
              </w:rPr>
            </w:pPr>
          </w:p>
        </w:tc>
      </w:tr>
      <w:tr w14:paraId="76A0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71671E4">
            <w:pPr>
              <w:jc w:val="center"/>
              <w:rPr>
                <w:rFonts w:ascii="仿宋" w:hAnsi="仿宋" w:eastAsia="仿宋"/>
                <w:color w:val="auto"/>
                <w:kern w:val="2"/>
                <w:sz w:val="28"/>
                <w:szCs w:val="28"/>
              </w:rPr>
            </w:pPr>
            <w:r>
              <w:rPr>
                <w:rFonts w:hint="eastAsia" w:ascii="仿宋" w:hAnsi="仿宋" w:eastAsia="仿宋"/>
                <w:color w:val="auto"/>
                <w:kern w:val="2"/>
                <w:sz w:val="28"/>
                <w:szCs w:val="28"/>
              </w:rPr>
              <w:t>邮     箱</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F62C4E7">
            <w:pPr>
              <w:jc w:val="center"/>
              <w:rPr>
                <w:rFonts w:ascii="仿宋" w:hAnsi="仿宋" w:eastAsia="仿宋"/>
                <w:color w:val="auto"/>
                <w:kern w:val="2"/>
                <w:sz w:val="28"/>
                <w:szCs w:val="28"/>
              </w:rPr>
            </w:pPr>
          </w:p>
        </w:tc>
      </w:tr>
      <w:tr w14:paraId="09D2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60B1C73">
            <w:pPr>
              <w:jc w:val="center"/>
              <w:rPr>
                <w:rFonts w:ascii="仿宋" w:hAnsi="仿宋" w:eastAsia="仿宋"/>
                <w:color w:val="auto"/>
                <w:kern w:val="2"/>
                <w:sz w:val="28"/>
                <w:szCs w:val="28"/>
              </w:rPr>
            </w:pPr>
            <w:r>
              <w:rPr>
                <w:rFonts w:hint="eastAsia" w:ascii="仿宋" w:hAnsi="仿宋" w:eastAsia="仿宋"/>
                <w:color w:val="auto"/>
                <w:kern w:val="2"/>
                <w:sz w:val="28"/>
                <w:szCs w:val="28"/>
              </w:rPr>
              <w:t>备     注</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EFE031A">
            <w:pPr>
              <w:rPr>
                <w:rFonts w:ascii="仿宋" w:hAnsi="仿宋" w:eastAsia="仿宋"/>
                <w:color w:val="auto"/>
                <w:kern w:val="2"/>
                <w:sz w:val="28"/>
                <w:szCs w:val="28"/>
              </w:rPr>
            </w:pPr>
          </w:p>
        </w:tc>
      </w:tr>
    </w:tbl>
    <w:p w14:paraId="28E9893F">
      <w:pPr>
        <w:jc w:val="both"/>
        <w:rPr>
          <w:rFonts w:ascii="Times New Roman"/>
          <w:color w:val="auto"/>
          <w:kern w:val="2"/>
          <w:sz w:val="21"/>
        </w:rPr>
      </w:pPr>
    </w:p>
    <w:p w14:paraId="6743D11D">
      <w:pPr>
        <w:spacing w:line="360" w:lineRule="auto"/>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rPr>
        <w:t xml:space="preserve">    </w:t>
      </w:r>
      <w:r>
        <w:rPr>
          <w:rFonts w:hint="eastAsia" w:ascii="仿宋" w:hAnsi="仿宋" w:eastAsia="仿宋" w:cs="Times New Roman"/>
          <w:color w:val="auto"/>
          <w:sz w:val="24"/>
          <w:szCs w:val="24"/>
          <w:lang w:eastAsia="zh-CN"/>
        </w:rPr>
        <w:t>采购单位联系人：</w:t>
      </w:r>
      <w:r>
        <w:rPr>
          <w:rFonts w:hint="eastAsia" w:ascii="仿宋" w:hAnsi="仿宋" w:eastAsia="仿宋" w:cs="Times New Roman"/>
          <w:color w:val="auto"/>
          <w:sz w:val="24"/>
          <w:szCs w:val="24"/>
          <w:lang w:val="en-US" w:eastAsia="zh-CN"/>
        </w:rPr>
        <w:t>潘老师、周</w:t>
      </w:r>
      <w:r>
        <w:rPr>
          <w:rFonts w:hint="eastAsia" w:ascii="仿宋" w:hAnsi="仿宋" w:eastAsia="仿宋" w:cs="Times New Roman"/>
          <w:color w:val="auto"/>
          <w:sz w:val="24"/>
          <w:szCs w:val="24"/>
          <w:lang w:eastAsia="zh-CN"/>
        </w:rPr>
        <w:t>老师</w:t>
      </w:r>
      <w:r>
        <w:rPr>
          <w:rFonts w:hint="eastAsia" w:ascii="仿宋" w:hAnsi="仿宋" w:eastAsia="仿宋" w:cs="Times New Roman"/>
          <w:color w:val="auto"/>
          <w:sz w:val="24"/>
          <w:szCs w:val="24"/>
          <w:lang w:val="en-US" w:eastAsia="zh-CN"/>
        </w:rPr>
        <w:t xml:space="preserve"> 028-82526150</w:t>
      </w:r>
      <w:r>
        <w:rPr>
          <w:rFonts w:hint="eastAsia" w:ascii="仿宋" w:hAnsi="仿宋" w:eastAsia="仿宋" w:cs="Times New Roman"/>
          <w:color w:val="auto"/>
          <w:sz w:val="24"/>
          <w:szCs w:val="24"/>
          <w:lang w:eastAsia="zh-CN"/>
        </w:rPr>
        <w:t>，</w:t>
      </w:r>
      <w:r>
        <w:rPr>
          <w:rFonts w:hint="eastAsia" w:ascii="仿宋" w:hAnsi="仿宋" w:eastAsia="仿宋" w:cs="Times New Roman"/>
          <w:color w:val="auto"/>
          <w:sz w:val="24"/>
          <w:szCs w:val="24"/>
          <w:lang w:val="en-US" w:eastAsia="zh-CN"/>
        </w:rPr>
        <w:t>邮箱845865477@qq.com</w:t>
      </w:r>
    </w:p>
    <w:p w14:paraId="3E4B405A">
      <w:pPr>
        <w:spacing w:line="360" w:lineRule="auto"/>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lang w:val="en-US" w:eastAsia="zh-CN"/>
        </w:rPr>
        <w:t>注:提供（1）报名登记表扫描件（2）投标单位营业执照正、副本复印件（3）经办人身份证复印件（以上三条均需加盖供应商公章，提供扫描至以上邮箱）（4）</w:t>
      </w:r>
      <w:r>
        <w:rPr>
          <w:rFonts w:hint="eastAsia" w:ascii="仿宋" w:hAnsi="仿宋" w:eastAsia="仿宋" w:cs="Times New Roman"/>
          <w:color w:val="auto"/>
          <w:sz w:val="24"/>
          <w:szCs w:val="24"/>
          <w:highlight w:val="none"/>
          <w:lang w:val="en-US" w:eastAsia="zh-CN"/>
        </w:rPr>
        <w:t>递交响应文件时，把以上3项资料盖章资料一并递交，此3项资料无需密封。</w:t>
      </w:r>
    </w:p>
    <w:p w14:paraId="25C40584">
      <w:pPr>
        <w:spacing w:line="360" w:lineRule="auto"/>
        <w:rPr>
          <w:color w:val="auto"/>
        </w:rPr>
      </w:pPr>
      <w:r>
        <w:rPr>
          <w:rFonts w:hint="eastAsia" w:ascii="仿宋" w:hAnsi="仿宋" w:eastAsia="仿宋" w:cs="Times New Roman"/>
          <w:color w:val="auto"/>
          <w:sz w:val="24"/>
          <w:szCs w:val="24"/>
          <w:lang w:eastAsia="zh-CN"/>
        </w:rPr>
        <w:t>投标单位购买招标文件时请如实认真填写报名登记表和投标人信息；若因投标单位提供的错误或不实信息，对其投标事宜造成影响的，由其投标单位自行承担所有责任。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F8AFBCB-F97E-4CB2-BCFD-4C76893D95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6460669-60CB-4C0B-B280-24741A18DA40}"/>
  </w:font>
  <w:font w:name="Calibri Light">
    <w:panose1 w:val="020F0302020204030204"/>
    <w:charset w:val="00"/>
    <w:family w:val="auto"/>
    <w:pitch w:val="default"/>
    <w:sig w:usb0="E4002EFF" w:usb1="C000247B" w:usb2="00000009" w:usb3="00000000" w:csb0="200001FF" w:csb1="00000000"/>
  </w:font>
  <w:font w:name=".......">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embedRegular r:id="rId3" w:fontKey="{0556EE95-3017-4EEE-A521-4D817D431CAC}"/>
  </w:font>
  <w:font w:name="方正小标宋简体">
    <w:panose1 w:val="02000000000000000000"/>
    <w:charset w:val="86"/>
    <w:family w:val="script"/>
    <w:pitch w:val="default"/>
    <w:sig w:usb0="00000001" w:usb1="08000000" w:usb2="00000000" w:usb3="00000000" w:csb0="00040000" w:csb1="00000000"/>
    <w:embedRegular r:id="rId4" w:fontKey="{29BBAA14-9784-498E-8AFA-3CAA1FD8F704}"/>
  </w:font>
  <w:font w:name="仿宋_GB2312">
    <w:altName w:val="仿宋"/>
    <w:panose1 w:val="02010609030101010101"/>
    <w:charset w:val="86"/>
    <w:family w:val="modern"/>
    <w:pitch w:val="default"/>
    <w:sig w:usb0="00000000" w:usb1="00000000" w:usb2="00000000" w:usb3="00000000" w:csb0="00040000" w:csb1="00000000"/>
    <w:embedRegular r:id="rId5" w:fontKey="{113933FD-9851-49C9-858C-6AC5023B7672}"/>
  </w:font>
  <w:font w:name="华文中宋">
    <w:panose1 w:val="02010600040101010101"/>
    <w:charset w:val="86"/>
    <w:family w:val="auto"/>
    <w:pitch w:val="default"/>
    <w:sig w:usb0="00000287" w:usb1="080F0000" w:usb2="00000000" w:usb3="00000000" w:csb0="0004009F" w:csb1="DFD70000"/>
    <w:embedRegular r:id="rId6" w:fontKey="{7327FE26-42C8-4052-A6E0-8EBD22EF0E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2EC3C">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9865">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019865">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E4A69"/>
    <w:multiLevelType w:val="singleLevel"/>
    <w:tmpl w:val="A17E4A69"/>
    <w:lvl w:ilvl="0" w:tentative="0">
      <w:start w:val="2"/>
      <w:numFmt w:val="decimal"/>
      <w:suff w:val="nothing"/>
      <w:lvlText w:val="%1、"/>
      <w:lvlJc w:val="left"/>
    </w:lvl>
  </w:abstractNum>
  <w:abstractNum w:abstractNumId="1">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pStyle w:val="22"/>
      <w:suff w:val="nothing"/>
      <w:lvlText w:val="%4."/>
      <w:lvlJc w:val="left"/>
      <w:pPr>
        <w:tabs>
          <w:tab w:val="left" w:pos="709"/>
        </w:tabs>
        <w:ind w:left="709"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E56B2D59"/>
    <w:multiLevelType w:val="singleLevel"/>
    <w:tmpl w:val="E56B2D59"/>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738DD"/>
    <w:rsid w:val="03147D24"/>
    <w:rsid w:val="04E86B91"/>
    <w:rsid w:val="05B77E21"/>
    <w:rsid w:val="06140401"/>
    <w:rsid w:val="08A45E49"/>
    <w:rsid w:val="097B39EB"/>
    <w:rsid w:val="0A875485"/>
    <w:rsid w:val="0A9B3267"/>
    <w:rsid w:val="0B5D63F7"/>
    <w:rsid w:val="0CD85E9D"/>
    <w:rsid w:val="0DEA754E"/>
    <w:rsid w:val="106B770F"/>
    <w:rsid w:val="10B14879"/>
    <w:rsid w:val="11213D01"/>
    <w:rsid w:val="11A5014C"/>
    <w:rsid w:val="12042B30"/>
    <w:rsid w:val="126F67ED"/>
    <w:rsid w:val="140C5B60"/>
    <w:rsid w:val="14382F65"/>
    <w:rsid w:val="14574547"/>
    <w:rsid w:val="14C25B10"/>
    <w:rsid w:val="14F95BEF"/>
    <w:rsid w:val="18B340A6"/>
    <w:rsid w:val="190653E0"/>
    <w:rsid w:val="19842E1A"/>
    <w:rsid w:val="1A0E09F0"/>
    <w:rsid w:val="1B7C3AD4"/>
    <w:rsid w:val="1BD75F80"/>
    <w:rsid w:val="1C3F50B7"/>
    <w:rsid w:val="1D610ED9"/>
    <w:rsid w:val="1ED55F80"/>
    <w:rsid w:val="1EEB62DA"/>
    <w:rsid w:val="206155F1"/>
    <w:rsid w:val="216B5041"/>
    <w:rsid w:val="24036A14"/>
    <w:rsid w:val="259A0116"/>
    <w:rsid w:val="275F60A8"/>
    <w:rsid w:val="2A1F4553"/>
    <w:rsid w:val="2A4C77FE"/>
    <w:rsid w:val="2BBE3953"/>
    <w:rsid w:val="2C414E70"/>
    <w:rsid w:val="2C4A4172"/>
    <w:rsid w:val="2C731FE5"/>
    <w:rsid w:val="2DCE7F27"/>
    <w:rsid w:val="300771DC"/>
    <w:rsid w:val="31D8451F"/>
    <w:rsid w:val="32DF1FDC"/>
    <w:rsid w:val="32FA3DAF"/>
    <w:rsid w:val="341449FD"/>
    <w:rsid w:val="346408E5"/>
    <w:rsid w:val="36A24542"/>
    <w:rsid w:val="3BA73AB7"/>
    <w:rsid w:val="3CE235AE"/>
    <w:rsid w:val="3E9055C8"/>
    <w:rsid w:val="40980764"/>
    <w:rsid w:val="409D1C34"/>
    <w:rsid w:val="417814E9"/>
    <w:rsid w:val="440B7D6A"/>
    <w:rsid w:val="468E0480"/>
    <w:rsid w:val="47A3117B"/>
    <w:rsid w:val="4A0855A2"/>
    <w:rsid w:val="4BD034A7"/>
    <w:rsid w:val="4D671A28"/>
    <w:rsid w:val="4F2627F5"/>
    <w:rsid w:val="4FC9093A"/>
    <w:rsid w:val="50992D05"/>
    <w:rsid w:val="529102F8"/>
    <w:rsid w:val="530C0109"/>
    <w:rsid w:val="533F3632"/>
    <w:rsid w:val="53857839"/>
    <w:rsid w:val="548B440F"/>
    <w:rsid w:val="54A35606"/>
    <w:rsid w:val="54DE6EBF"/>
    <w:rsid w:val="552C4C9E"/>
    <w:rsid w:val="594D4AA0"/>
    <w:rsid w:val="59CC4666"/>
    <w:rsid w:val="5BB04929"/>
    <w:rsid w:val="60E70C20"/>
    <w:rsid w:val="63D25003"/>
    <w:rsid w:val="64C86FBA"/>
    <w:rsid w:val="66D82E85"/>
    <w:rsid w:val="679C6C08"/>
    <w:rsid w:val="68796990"/>
    <w:rsid w:val="69245774"/>
    <w:rsid w:val="692F0EEA"/>
    <w:rsid w:val="69FA5E67"/>
    <w:rsid w:val="6A2C3362"/>
    <w:rsid w:val="6A961D0C"/>
    <w:rsid w:val="6B171FE9"/>
    <w:rsid w:val="6C792A1B"/>
    <w:rsid w:val="6D8871EF"/>
    <w:rsid w:val="6D9B3ACA"/>
    <w:rsid w:val="6E493DC7"/>
    <w:rsid w:val="717645B6"/>
    <w:rsid w:val="71856EF9"/>
    <w:rsid w:val="72EA3CE1"/>
    <w:rsid w:val="738A3634"/>
    <w:rsid w:val="74C05C36"/>
    <w:rsid w:val="761E6201"/>
    <w:rsid w:val="782E433D"/>
    <w:rsid w:val="7A5358BD"/>
    <w:rsid w:val="7AEA1B74"/>
    <w:rsid w:val="7B1B5C3E"/>
    <w:rsid w:val="7C2330CA"/>
    <w:rsid w:val="7C4F2792"/>
    <w:rsid w:val="7C5739AD"/>
    <w:rsid w:val="7EDE3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3"/>
    <w:basedOn w:val="1"/>
    <w:unhideWhenUsed/>
    <w:qFormat/>
    <w:uiPriority w:val="99"/>
    <w:pPr>
      <w:jc w:val="center"/>
    </w:pPr>
    <w:rPr>
      <w:rFonts w:hint="eastAsia" w:hAnsi="Symbol"/>
      <w:sz w:val="10"/>
      <w:szCs w:val="24"/>
    </w:rPr>
  </w:style>
  <w:style w:type="paragraph" w:styleId="6">
    <w:name w:val="Body Text"/>
    <w:basedOn w:val="1"/>
    <w:next w:val="1"/>
    <w:qFormat/>
    <w:uiPriority w:val="99"/>
    <w:pPr>
      <w:spacing w:after="120"/>
    </w:pPr>
    <w:rPr>
      <w:rFonts w:ascii="宋体" w:hAnsi="Times New Roman"/>
      <w:kern w:val="0"/>
      <w:sz w:val="34"/>
      <w:szCs w:val="20"/>
    </w:rPr>
  </w:style>
  <w:style w:type="paragraph" w:styleId="7">
    <w:name w:val="Body Text Indent"/>
    <w:basedOn w:val="1"/>
    <w:qFormat/>
    <w:uiPriority w:val="0"/>
    <w:pPr>
      <w:spacing w:line="500" w:lineRule="exact"/>
      <w:ind w:left="832" w:leftChars="832" w:firstLine="433" w:firstLineChars="196"/>
    </w:pPr>
    <w:rPr>
      <w:sz w:val="24"/>
    </w:rPr>
  </w:style>
  <w:style w:type="paragraph" w:styleId="8">
    <w:name w:val="Date"/>
    <w:basedOn w:val="1"/>
    <w:next w:val="1"/>
    <w:qFormat/>
    <w:uiPriority w:val="0"/>
    <w:rPr>
      <w:rFonts w:eastAsia="黑体"/>
      <w:sz w:val="36"/>
    </w:rPr>
  </w:style>
  <w:style w:type="paragraph" w:styleId="9">
    <w:name w:val="Body Text Indent 2"/>
    <w:basedOn w:val="1"/>
    <w:next w:val="10"/>
    <w:qFormat/>
    <w:uiPriority w:val="0"/>
    <w:pPr>
      <w:spacing w:after="120" w:line="480" w:lineRule="auto"/>
      <w:ind w:left="420" w:leftChars="200"/>
    </w:pPr>
    <w:rPr>
      <w:rFonts w:ascii="Calibri" w:hAnsi="Calibri" w:eastAsia="宋体" w:cs="Times New Roman"/>
      <w:szCs w:val="22"/>
    </w:rPr>
  </w:style>
  <w:style w:type="paragraph" w:customStyle="1" w:styleId="10">
    <w:name w:val="样式"/>
    <w:basedOn w:val="1"/>
    <w:qFormat/>
    <w:uiPriority w:val="0"/>
    <w:pPr>
      <w:autoSpaceDE w:val="0"/>
      <w:autoSpaceDN w:val="0"/>
      <w:adjustRightInd w:val="0"/>
      <w:jc w:val="left"/>
    </w:pPr>
    <w:rPr>
      <w:rFonts w:hint="eastAsia" w:ascii="宋体" w:hAnsi="宋体" w:eastAsia="宋体" w:cs="Times New Roman"/>
      <w:kern w:val="0"/>
      <w:sz w:val="24"/>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paragraph" w:styleId="14">
    <w:name w:val="Body Text First Indent"/>
    <w:basedOn w:val="6"/>
    <w:next w:val="1"/>
    <w:qFormat/>
    <w:uiPriority w:val="0"/>
    <w:pPr>
      <w:widowControl w:val="0"/>
      <w:spacing w:after="120" w:afterLines="0" w:line="240" w:lineRule="auto"/>
      <w:ind w:firstLine="420" w:firstLineChars="100"/>
    </w:pPr>
  </w:style>
  <w:style w:type="paragraph" w:styleId="15">
    <w:name w:val="Body Text First Indent 2"/>
    <w:basedOn w:val="7"/>
    <w:qFormat/>
    <w:uiPriority w:val="0"/>
    <w:pPr>
      <w:spacing w:after="120" w:line="240" w:lineRule="auto"/>
      <w:ind w:left="420" w:leftChars="200" w:firstLine="420"/>
    </w:pPr>
    <w:rPr>
      <w:sz w:val="21"/>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20">
    <w:name w:val="List Paragraph"/>
    <w:basedOn w:val="1"/>
    <w:qFormat/>
    <w:uiPriority w:val="34"/>
    <w:pPr>
      <w:ind w:firstLine="420" w:firstLineChars="200"/>
    </w:pPr>
    <w:rPr>
      <w:rFonts w:ascii="Times New Roman"/>
      <w:szCs w:val="22"/>
    </w:rPr>
  </w:style>
  <w:style w:type="paragraph" w:customStyle="1" w:styleId="21">
    <w:name w:val="02、首行缩进2字符正文"/>
    <w:basedOn w:val="1"/>
    <w:qFormat/>
    <w:uiPriority w:val="0"/>
    <w:pPr>
      <w:tabs>
        <w:tab w:val="left" w:pos="0"/>
      </w:tabs>
      <w:wordWrap w:val="0"/>
      <w:topLinePunct/>
      <w:ind w:firstLine="480" w:firstLineChars="200"/>
    </w:pPr>
  </w:style>
  <w:style w:type="paragraph" w:customStyle="1" w:styleId="22">
    <w:name w:val="17“1.”四级标题"/>
    <w:basedOn w:val="21"/>
    <w:qFormat/>
    <w:uiPriority w:val="0"/>
    <w:pPr>
      <w:numPr>
        <w:ilvl w:val="3"/>
        <w:numId w:val="1"/>
      </w:numPr>
      <w:ind w:firstLine="803"/>
    </w:pPr>
  </w:style>
  <w:style w:type="paragraph" w:customStyle="1" w:styleId="23">
    <w:name w:val="Table Text"/>
    <w:basedOn w:val="1"/>
    <w:semiHidden/>
    <w:qFormat/>
    <w:uiPriority w:val="0"/>
    <w:rPr>
      <w:rFonts w:ascii="宋体" w:hAnsi="宋体" w:eastAsia="宋体" w:cs="宋体"/>
      <w:sz w:val="24"/>
      <w:szCs w:val="24"/>
      <w:lang w:val="en-US" w:eastAsia="en-US" w:bidi="ar-SA"/>
    </w:r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Default"/>
    <w:next w:val="9"/>
    <w:qFormat/>
    <w:uiPriority w:val="0"/>
    <w:pPr>
      <w:widowControl w:val="0"/>
      <w:autoSpaceDE w:val="0"/>
      <w:autoSpaceDN w:val="0"/>
      <w:adjustRightInd w:val="0"/>
    </w:pPr>
    <w:rPr>
      <w:rFonts w:ascii="......." w:hAnsi="......." w:eastAsia="......." w:cs="......."/>
      <w:color w:val="000000"/>
      <w:sz w:val="24"/>
      <w:szCs w:val="24"/>
      <w:lang w:val="en-US" w:eastAsia="zh-CN" w:bidi="ar-SA"/>
    </w:rPr>
  </w:style>
  <w:style w:type="character" w:customStyle="1" w:styleId="26">
    <w:name w:val="font31"/>
    <w:basedOn w:val="18"/>
    <w:qFormat/>
    <w:uiPriority w:val="0"/>
    <w:rPr>
      <w:rFonts w:hint="eastAsia" w:ascii="仿宋" w:hAnsi="仿宋" w:eastAsia="仿宋" w:cs="仿宋"/>
      <w:color w:val="000000"/>
      <w:sz w:val="18"/>
      <w:szCs w:val="18"/>
      <w:u w:val="none"/>
    </w:rPr>
  </w:style>
  <w:style w:type="character" w:customStyle="1" w:styleId="27">
    <w:name w:val="font51"/>
    <w:basedOn w:val="18"/>
    <w:qFormat/>
    <w:uiPriority w:val="0"/>
    <w:rPr>
      <w:rFonts w:hint="default" w:ascii="Times New Roman" w:hAnsi="Times New Roman" w:cs="Times New Roman"/>
      <w:color w:val="000000"/>
      <w:sz w:val="18"/>
      <w:szCs w:val="18"/>
      <w:u w:val="none"/>
    </w:rPr>
  </w:style>
  <w:style w:type="character" w:customStyle="1" w:styleId="28">
    <w:name w:val="font61"/>
    <w:basedOn w:val="1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2339</Words>
  <Characters>2516</Characters>
  <Lines>0</Lines>
  <Paragraphs>0</Paragraphs>
  <TotalTime>10</TotalTime>
  <ScaleCrop>false</ScaleCrop>
  <LinksUpToDate>false</LinksUpToDate>
  <CharactersWithSpaces>2551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2026-08-18T00:32:00Z</cp:lastPrinted>
  <dcterms:modified xsi:type="dcterms:W3CDTF">2026-08-18T03:15:37Z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D645DF6FA1E040E59BF740E68679B1AB_13</vt:lpwstr>
  </property>
</Properties>
</file>