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DBF874">
      <w:pPr>
        <w:pStyle w:val="6"/>
        <w:jc w:val="center"/>
        <w:rPr>
          <w:rFonts w:hint="default" w:ascii="方正小标宋简体" w:hAnsi="方正小标宋简体" w:eastAsia="宋体" w:cs="方正小标宋简体"/>
          <w:bCs/>
          <w:color w:val="auto"/>
          <w:sz w:val="44"/>
          <w:szCs w:val="44"/>
          <w:lang w:val="en-US" w:eastAsia="zh-CN"/>
        </w:rPr>
      </w:pPr>
      <w:r>
        <w:rPr>
          <w:rFonts w:hint="eastAsia"/>
          <w:lang w:val="en-US" w:eastAsia="zh-CN"/>
        </w:rPr>
        <w:t>成都市新津区中医医院医疗设备配件采购项目询预算价</w:t>
      </w:r>
      <w:r>
        <w:rPr>
          <w:highlight w:val="none"/>
        </w:rPr>
        <w:t>公</w:t>
      </w:r>
      <w:r>
        <w:t>示</w:t>
      </w:r>
    </w:p>
    <w:p w14:paraId="3D73D342">
      <w:pPr>
        <w:spacing w:line="700" w:lineRule="exact"/>
        <w:jc w:val="both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</w:pPr>
    </w:p>
    <w:p w14:paraId="5EAD4A9D">
      <w:pPr>
        <w:spacing w:line="360" w:lineRule="auto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各潜在供应商：</w:t>
      </w:r>
    </w:p>
    <w:p w14:paraId="3D58EF04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根据医院业务需要，我院拟采购医疗设备配件项目。现将具体采购需求公告如下，各潜在供应商如有意向参与，请主动与我院联系，并在公示期内提供以下资料，以便初步甄选。</w:t>
      </w:r>
    </w:p>
    <w:p w14:paraId="640C3185">
      <w:pPr>
        <w:numPr>
          <w:ilvl w:val="0"/>
          <w:numId w:val="2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★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公司情况介绍：</w:t>
      </w:r>
    </w:p>
    <w:p w14:paraId="1550F1B8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1、公司相关业务情况、业绩简介。</w:t>
      </w:r>
    </w:p>
    <w:p w14:paraId="017BA2A8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2、公司营业执照复印件；公司法人身份证复印件，或授权委托书及授权委托人身份证复印件。</w:t>
      </w:r>
    </w:p>
    <w:p w14:paraId="6E202725">
      <w:pPr>
        <w:numPr>
          <w:ilvl w:val="0"/>
          <w:numId w:val="2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报名要求：</w:t>
      </w:r>
    </w:p>
    <w:p w14:paraId="09EF76AE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1、资料必须密封，现场递交成都市新津区中医医院采购部（医院行政办公区二楼）。</w:t>
      </w:r>
    </w:p>
    <w:p w14:paraId="6D45B460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2、报价资料需按照医院要求格式报价。（附件2）</w:t>
      </w:r>
    </w:p>
    <w:p w14:paraId="0EDEDEDA">
      <w:pPr>
        <w:spacing w:line="360" w:lineRule="auto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3、提供电子版报价资料和相关服务方案简介资料，可优化和细化功能参数，以便医院甄选使用（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本项目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无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需电子报价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 w14:paraId="11D4DA37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4、参与供应商应符合《政府采购法》第二十二条的相关资质要求，具备相关资质。并提供相关证明材料或承诺函。 </w:t>
      </w:r>
    </w:p>
    <w:p w14:paraId="18720D96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5、拟参与本项目的供应商如需了解项目情况，自行对接该项目负责人了解相关信息。</w:t>
      </w:r>
    </w:p>
    <w:p w14:paraId="053AA85D">
      <w:pPr>
        <w:spacing w:line="360" w:lineRule="auto"/>
        <w:ind w:firstLine="560" w:firstLineChars="200"/>
        <w:jc w:val="left"/>
        <w:rPr>
          <w:color w:val="auto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6、所有递交资料及相关证明材料必须加盖供应商鲜章有效。</w:t>
      </w:r>
    </w:p>
    <w:p w14:paraId="53F6BAEA">
      <w:pPr>
        <w:numPr>
          <w:ilvl w:val="0"/>
          <w:numId w:val="2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本次公开询价结果只作为本项目采购预算价，不作为成交价。</w:t>
      </w:r>
    </w:p>
    <w:p w14:paraId="08556C05">
      <w:pPr>
        <w:numPr>
          <w:ilvl w:val="0"/>
          <w:numId w:val="2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其他事项</w:t>
      </w:r>
    </w:p>
    <w:p w14:paraId="68FD5C6A">
      <w:pPr>
        <w:spacing w:line="360" w:lineRule="auto"/>
        <w:ind w:firstLine="560" w:firstLineChars="200"/>
        <w:jc w:val="left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bookmarkStart w:id="0" w:name="_Toc20249"/>
      <w:bookmarkStart w:id="1" w:name="_Toc20665"/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1、报名资料接收时间：（2026年8月5日-2026年8月10日；文件接收截止日期：2026年8月12日16：00）递交资料人员须为法人或授权委托人并提供证明文件查看。报名登记表见附件3。</w:t>
      </w:r>
    </w:p>
    <w:p w14:paraId="454F1550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2、公示人：成都市新津区中医医院 地址：成都市新津区西创大道1389号。</w:t>
      </w:r>
    </w:p>
    <w:p w14:paraId="35C790C4">
      <w:pPr>
        <w:spacing w:line="360" w:lineRule="auto"/>
        <w:ind w:firstLine="560" w:firstLineChars="200"/>
        <w:jc w:val="left"/>
        <w:rPr>
          <w:rFonts w:hint="default" w:hAnsi="宋体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3、报名联系人：潘老师、周老师028-82526150 ；项目咨询联系人：刘老师，028-82556072。</w:t>
      </w:r>
    </w:p>
    <w:p w14:paraId="56EC0838">
      <w:pPr>
        <w:spacing w:line="360" w:lineRule="auto"/>
        <w:ind w:firstLine="560" w:firstLineChars="200"/>
        <w:jc w:val="left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4、报名供应商可通过邮箱845865477@qq.com报名。报名需提交报名登记表及登记表要求的相关资质资料（盖公章）。</w:t>
      </w:r>
    </w:p>
    <w:p w14:paraId="69051BC5">
      <w:pPr>
        <w:numPr>
          <w:ilvl w:val="0"/>
          <w:numId w:val="0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 w14:paraId="6C596645">
      <w:pPr>
        <w:numPr>
          <w:ilvl w:val="0"/>
          <w:numId w:val="0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 w14:paraId="290D44DF">
      <w:pPr>
        <w:numPr>
          <w:ilvl w:val="0"/>
          <w:numId w:val="0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 w14:paraId="3B97DEFB">
      <w:pPr>
        <w:numPr>
          <w:ilvl w:val="0"/>
          <w:numId w:val="0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 w14:paraId="074C1B3A">
      <w:pPr>
        <w:numPr>
          <w:ilvl w:val="0"/>
          <w:numId w:val="0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 w14:paraId="4BCED486">
      <w:pPr>
        <w:pStyle w:val="6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 w14:paraId="04E3D95E">
      <w:pPr>
        <w:pStyle w:val="10"/>
        <w:rPr>
          <w:rFonts w:hint="eastAsia"/>
          <w:lang w:val="en-US" w:eastAsia="zh-CN"/>
        </w:rPr>
      </w:pPr>
    </w:p>
    <w:p w14:paraId="3BA2C8EF">
      <w:pPr>
        <w:numPr>
          <w:ilvl w:val="0"/>
          <w:numId w:val="0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 w14:paraId="659C3763">
      <w:pPr>
        <w:numPr>
          <w:ilvl w:val="0"/>
          <w:numId w:val="0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 w14:paraId="0810B193">
      <w:pPr>
        <w:numPr>
          <w:ilvl w:val="0"/>
          <w:numId w:val="0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附件1：采购需求</w:t>
      </w:r>
    </w:p>
    <w:p w14:paraId="37F62CB0">
      <w:pPr>
        <w:spacing w:line="500" w:lineRule="exact"/>
        <w:rPr>
          <w:rFonts w:hint="eastAsia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★一、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配件清单</w:t>
      </w:r>
    </w:p>
    <w:p w14:paraId="63E61A62">
      <w:pPr>
        <w:spacing w:line="600" w:lineRule="exact"/>
        <w:rPr>
          <w:rFonts w:hint="eastAsia" w:ascii="黑体" w:hAnsi="黑体" w:eastAsia="黑体" w:cs="黑体"/>
          <w:sz w:val="28"/>
          <w:szCs w:val="28"/>
        </w:rPr>
      </w:pPr>
    </w:p>
    <w:tbl>
      <w:tblPr>
        <w:tblStyle w:val="20"/>
        <w:tblW w:w="876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7"/>
        <w:gridCol w:w="1638"/>
        <w:gridCol w:w="1761"/>
        <w:gridCol w:w="3432"/>
        <w:gridCol w:w="1084"/>
      </w:tblGrid>
      <w:tr w14:paraId="3FD79A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47" w:type="dxa"/>
            <w:vAlign w:val="center"/>
          </w:tcPr>
          <w:p w14:paraId="17A9ACFF">
            <w:pPr>
              <w:pStyle w:val="1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7"/>
                <w:sz w:val="28"/>
                <w:szCs w:val="28"/>
              </w:rPr>
              <w:t>序号</w:t>
            </w:r>
          </w:p>
        </w:tc>
        <w:tc>
          <w:tcPr>
            <w:tcW w:w="1638" w:type="dxa"/>
            <w:vAlign w:val="center"/>
          </w:tcPr>
          <w:p w14:paraId="3622DE9D">
            <w:pPr>
              <w:pStyle w:val="1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3"/>
                <w:sz w:val="28"/>
                <w:szCs w:val="28"/>
              </w:rPr>
              <w:t>设备名称</w:t>
            </w:r>
          </w:p>
        </w:tc>
        <w:tc>
          <w:tcPr>
            <w:tcW w:w="1761" w:type="dxa"/>
            <w:vAlign w:val="center"/>
          </w:tcPr>
          <w:p w14:paraId="21399680">
            <w:pPr>
              <w:pStyle w:val="1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1"/>
                <w:sz w:val="28"/>
                <w:szCs w:val="28"/>
              </w:rPr>
              <w:t>设备型号</w:t>
            </w:r>
          </w:p>
        </w:tc>
        <w:tc>
          <w:tcPr>
            <w:tcW w:w="3432" w:type="dxa"/>
            <w:vAlign w:val="center"/>
          </w:tcPr>
          <w:p w14:paraId="7AC31040">
            <w:pPr>
              <w:pStyle w:val="1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2"/>
                <w:sz w:val="28"/>
                <w:szCs w:val="28"/>
                <w:lang w:eastAsia="zh-CN"/>
              </w:rPr>
              <w:t>配件名称</w:t>
            </w:r>
          </w:p>
        </w:tc>
        <w:tc>
          <w:tcPr>
            <w:tcW w:w="1084" w:type="dxa"/>
            <w:vAlign w:val="center"/>
          </w:tcPr>
          <w:p w14:paraId="4CBFB098">
            <w:pPr>
              <w:pStyle w:val="1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pacing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2"/>
                <w:sz w:val="28"/>
                <w:szCs w:val="28"/>
                <w:lang w:val="en-US" w:eastAsia="zh-CN"/>
              </w:rPr>
              <w:t>数量</w:t>
            </w:r>
          </w:p>
        </w:tc>
      </w:tr>
      <w:tr w14:paraId="4279C0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847" w:type="dxa"/>
            <w:vMerge w:val="restart"/>
            <w:vAlign w:val="center"/>
          </w:tcPr>
          <w:p w14:paraId="23409E79">
            <w:pPr>
              <w:pStyle w:val="1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638" w:type="dxa"/>
            <w:vMerge w:val="restart"/>
            <w:vAlign w:val="center"/>
          </w:tcPr>
          <w:p w14:paraId="5D3D8377">
            <w:pPr>
              <w:pStyle w:val="1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zh-CN" w:bidi="ar-SA"/>
              </w:rPr>
              <w:t>飞利浦16排CT</w:t>
            </w:r>
          </w:p>
        </w:tc>
        <w:tc>
          <w:tcPr>
            <w:tcW w:w="1761" w:type="dxa"/>
            <w:vMerge w:val="restart"/>
            <w:vAlign w:val="center"/>
          </w:tcPr>
          <w:p w14:paraId="6F5AA01A">
            <w:pPr>
              <w:pStyle w:val="1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zh-CN" w:bidi="ar-SA"/>
              </w:rPr>
              <w:t>Brilliance 16</w:t>
            </w:r>
          </w:p>
        </w:tc>
        <w:tc>
          <w:tcPr>
            <w:tcW w:w="3432" w:type="dxa"/>
            <w:vAlign w:val="center"/>
          </w:tcPr>
          <w:p w14:paraId="78BEE1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284" w:firstLineChars="100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4"/>
                <w:szCs w:val="24"/>
                <w:lang w:val="en-US" w:eastAsia="zh-CN" w:bidi="ar-SA"/>
              </w:rPr>
              <w:t>①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zh-CN" w:bidi="ar-SA"/>
              </w:rPr>
              <w:t>高压系统单路输出直流辅助电源模块</w:t>
            </w:r>
          </w:p>
        </w:tc>
        <w:tc>
          <w:tcPr>
            <w:tcW w:w="1084" w:type="dxa"/>
            <w:vAlign w:val="center"/>
          </w:tcPr>
          <w:p w14:paraId="14B3D1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284" w:firstLineChars="100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4"/>
                <w:szCs w:val="24"/>
                <w:lang w:val="en-US" w:eastAsia="zh-CN" w:bidi="ar-SA"/>
              </w:rPr>
              <w:t>1个</w:t>
            </w:r>
          </w:p>
          <w:p w14:paraId="0370F2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324" w:firstLineChars="100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36CC99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847" w:type="dxa"/>
            <w:vMerge w:val="continue"/>
            <w:vAlign w:val="center"/>
          </w:tcPr>
          <w:p w14:paraId="6844D2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210" w:firstLineChars="100"/>
              <w:textAlignment w:val="baseline"/>
              <w:rPr>
                <w:rFonts w:hint="eastAsia" w:ascii="仿宋" w:hAnsi="仿宋" w:eastAsia="仿宋" w:cs="仿宋"/>
              </w:rPr>
            </w:pPr>
          </w:p>
        </w:tc>
        <w:tc>
          <w:tcPr>
            <w:tcW w:w="1638" w:type="dxa"/>
            <w:vMerge w:val="continue"/>
            <w:vAlign w:val="center"/>
          </w:tcPr>
          <w:p w14:paraId="642E6D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210" w:firstLineChars="100"/>
              <w:textAlignment w:val="baseline"/>
              <w:rPr>
                <w:rFonts w:hint="eastAsia" w:ascii="仿宋" w:hAnsi="仿宋" w:eastAsia="仿宋" w:cs="仿宋"/>
              </w:rPr>
            </w:pPr>
          </w:p>
        </w:tc>
        <w:tc>
          <w:tcPr>
            <w:tcW w:w="1761" w:type="dxa"/>
            <w:vMerge w:val="continue"/>
            <w:vAlign w:val="center"/>
          </w:tcPr>
          <w:p w14:paraId="7A4441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210" w:firstLineChars="100"/>
              <w:textAlignment w:val="baseline"/>
              <w:rPr>
                <w:rFonts w:hint="eastAsia" w:ascii="仿宋" w:hAnsi="仿宋" w:eastAsia="仿宋" w:cs="仿宋"/>
              </w:rPr>
            </w:pPr>
          </w:p>
        </w:tc>
        <w:tc>
          <w:tcPr>
            <w:tcW w:w="3432" w:type="dxa"/>
            <w:vAlign w:val="center"/>
          </w:tcPr>
          <w:p w14:paraId="72277F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324" w:firstLineChars="100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zh-CN" w:bidi="ar-SA"/>
              </w:rPr>
              <w:t>②X线球管阳极逆变高压功率模块（阳极高压模块）</w:t>
            </w:r>
          </w:p>
        </w:tc>
        <w:tc>
          <w:tcPr>
            <w:tcW w:w="1084" w:type="dxa"/>
            <w:vAlign w:val="center"/>
          </w:tcPr>
          <w:p w14:paraId="1E3089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324" w:firstLineChars="100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zh-CN" w:bidi="ar-SA"/>
              </w:rPr>
              <w:t>1个</w:t>
            </w:r>
          </w:p>
        </w:tc>
      </w:tr>
      <w:tr w14:paraId="6E3B1A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847" w:type="dxa"/>
            <w:vMerge w:val="continue"/>
            <w:vAlign w:val="center"/>
          </w:tcPr>
          <w:p w14:paraId="054330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324" w:firstLineChars="100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38" w:type="dxa"/>
            <w:vMerge w:val="continue"/>
            <w:vAlign w:val="center"/>
          </w:tcPr>
          <w:p w14:paraId="484485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324" w:firstLineChars="100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61" w:type="dxa"/>
            <w:vMerge w:val="continue"/>
            <w:vAlign w:val="center"/>
          </w:tcPr>
          <w:p w14:paraId="372CCE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324" w:firstLineChars="100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432" w:type="dxa"/>
            <w:vAlign w:val="center"/>
          </w:tcPr>
          <w:p w14:paraId="3BE539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324" w:firstLineChars="100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zh-CN" w:bidi="ar-SA"/>
              </w:rPr>
              <w:t>③阴极模块熔断器/高压阳极熔断器</w:t>
            </w:r>
          </w:p>
        </w:tc>
        <w:tc>
          <w:tcPr>
            <w:tcW w:w="1084" w:type="dxa"/>
            <w:vAlign w:val="center"/>
          </w:tcPr>
          <w:p w14:paraId="31B9DF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324" w:firstLineChars="100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zh-CN" w:bidi="ar-SA"/>
              </w:rPr>
              <w:t>5个</w:t>
            </w:r>
          </w:p>
        </w:tc>
      </w:tr>
      <w:tr w14:paraId="07EC89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  <w:jc w:val="center"/>
        </w:trPr>
        <w:tc>
          <w:tcPr>
            <w:tcW w:w="847" w:type="dxa"/>
            <w:vMerge w:val="continue"/>
            <w:vAlign w:val="center"/>
          </w:tcPr>
          <w:p w14:paraId="055066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324" w:firstLineChars="100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38" w:type="dxa"/>
            <w:vMerge w:val="continue"/>
            <w:vAlign w:val="center"/>
          </w:tcPr>
          <w:p w14:paraId="37C4C5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324" w:firstLineChars="100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61" w:type="dxa"/>
            <w:vMerge w:val="continue"/>
            <w:vAlign w:val="center"/>
          </w:tcPr>
          <w:p w14:paraId="326A38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324" w:firstLineChars="100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432" w:type="dxa"/>
            <w:vAlign w:val="center"/>
          </w:tcPr>
          <w:p w14:paraId="479FBA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324" w:firstLineChars="100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zh-CN" w:bidi="ar-SA"/>
              </w:rPr>
              <w:t>④ACS 球管阳极驱动控制信号处理组件</w:t>
            </w:r>
          </w:p>
        </w:tc>
        <w:tc>
          <w:tcPr>
            <w:tcW w:w="1084" w:type="dxa"/>
            <w:vAlign w:val="center"/>
          </w:tcPr>
          <w:p w14:paraId="14E127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324" w:firstLineChars="100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zh-CN" w:bidi="ar-SA"/>
              </w:rPr>
              <w:t>1个</w:t>
            </w:r>
          </w:p>
        </w:tc>
      </w:tr>
    </w:tbl>
    <w:p w14:paraId="23A822B9">
      <w:pPr>
        <w:spacing w:line="600" w:lineRule="exact"/>
        <w:rPr>
          <w:rFonts w:hint="eastAsia" w:ascii="黑体" w:hAnsi="黑体" w:eastAsia="黑体" w:cs="黑体"/>
          <w:sz w:val="28"/>
          <w:szCs w:val="28"/>
        </w:rPr>
      </w:pPr>
    </w:p>
    <w:p w14:paraId="6A0AB451">
      <w:pPr>
        <w:spacing w:line="6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★</w:t>
      </w:r>
      <w:r>
        <w:rPr>
          <w:rFonts w:hint="eastAsia" w:ascii="黑体" w:hAnsi="黑体" w:eastAsia="黑体" w:cs="黑体"/>
          <w:sz w:val="32"/>
          <w:szCs w:val="32"/>
        </w:rPr>
        <w:t>二、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配件要求</w:t>
      </w:r>
    </w:p>
    <w:p w14:paraId="79E42B71"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-648" w:leftChars="0" w:firstLine="648" w:firstLineChars="0"/>
        <w:textAlignment w:val="baseline"/>
        <w:rPr>
          <w:rFonts w:hint="eastAsia" w:ascii="仿宋" w:hAnsi="仿宋" w:eastAsia="仿宋" w:cs="仿宋"/>
          <w:snapToGrid w:val="0"/>
          <w:color w:val="000000"/>
          <w:spacing w:val="22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22"/>
          <w:kern w:val="0"/>
          <w:sz w:val="28"/>
          <w:szCs w:val="28"/>
          <w:lang w:val="en-US" w:eastAsia="zh-CN" w:bidi="ar-SA"/>
        </w:rPr>
        <w:t>模范街院区飞利浦16排CT无法正常扫描，经工程师排查故障后，出具设备检测报告，需更换以下零配件修复，①</w:t>
      </w:r>
      <w:r>
        <w:rPr>
          <w:rFonts w:hint="eastAsia" w:ascii="仿宋" w:hAnsi="仿宋" w:eastAsia="仿宋" w:cs="仿宋"/>
          <w:snapToGrid w:val="0"/>
          <w:color w:val="000000"/>
          <w:spacing w:val="22"/>
          <w:kern w:val="0"/>
          <w:sz w:val="24"/>
          <w:szCs w:val="24"/>
          <w:lang w:val="en-US" w:eastAsia="zh-CN" w:bidi="ar-SA"/>
        </w:rPr>
        <w:t>高压系统单路输出直流辅助电源模块</w:t>
      </w:r>
      <w:r>
        <w:rPr>
          <w:rFonts w:hint="eastAsia" w:ascii="仿宋" w:hAnsi="仿宋" w:eastAsia="仿宋" w:cs="仿宋"/>
          <w:snapToGrid w:val="0"/>
          <w:color w:val="000000"/>
          <w:spacing w:val="22"/>
          <w:kern w:val="0"/>
          <w:sz w:val="28"/>
          <w:szCs w:val="28"/>
          <w:lang w:val="en-US" w:eastAsia="zh-CN" w:bidi="ar-SA"/>
        </w:rPr>
        <w:t>1个；②X线球管阳极逆变高压功率模块（阳极高压模块）1个，③阴极模块熔断器/高压阳极熔断器5个；④ACS 球管阳极驱动控制信号处理组件1个。</w:t>
      </w:r>
    </w:p>
    <w:p w14:paraId="5CDBE034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right="0" w:rightChars="0"/>
        <w:textAlignment w:val="baseline"/>
        <w:rPr>
          <w:rFonts w:hint="eastAsia" w:ascii="仿宋" w:hAnsi="仿宋" w:eastAsia="仿宋" w:cs="仿宋"/>
          <w:spacing w:val="22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pacing w:val="22"/>
          <w:kern w:val="0"/>
          <w:sz w:val="28"/>
          <w:szCs w:val="28"/>
          <w:lang w:val="en-US" w:eastAsia="zh-CN" w:bidi="ar-SA"/>
        </w:rPr>
        <w:t>2、服务要求：</w:t>
      </w:r>
    </w:p>
    <w:p w14:paraId="2BA9CF7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right="0" w:rightChars="0" w:firstLine="648" w:firstLineChars="200"/>
        <w:textAlignment w:val="baseline"/>
        <w:rPr>
          <w:rFonts w:hint="eastAsia" w:ascii="仿宋" w:hAnsi="仿宋" w:eastAsia="仿宋" w:cs="仿宋"/>
          <w:snapToGrid w:val="0"/>
          <w:color w:val="000000"/>
          <w:spacing w:val="22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22"/>
          <w:kern w:val="0"/>
          <w:sz w:val="28"/>
          <w:szCs w:val="28"/>
          <w:lang w:val="en-US" w:eastAsia="zh-CN" w:bidi="ar-SA"/>
        </w:rPr>
        <w:t>①高压系统单路输出直流辅助电源模块一个，</w:t>
      </w:r>
    </w:p>
    <w:p w14:paraId="54DC4C46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right="0" w:rightChars="0" w:firstLine="648" w:firstLineChars="200"/>
        <w:textAlignment w:val="baseline"/>
        <w:rPr>
          <w:rFonts w:hint="eastAsia" w:ascii="仿宋" w:hAnsi="仿宋" w:eastAsia="仿宋" w:cs="仿宋"/>
          <w:snapToGrid w:val="0"/>
          <w:color w:val="000000"/>
          <w:spacing w:val="22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22"/>
          <w:kern w:val="0"/>
          <w:sz w:val="28"/>
          <w:szCs w:val="28"/>
          <w:lang w:val="en-US" w:eastAsia="zh-CN" w:bidi="ar-SA"/>
        </w:rPr>
        <w:t>②X线球管阳极逆变高</w:t>
      </w:r>
      <w:r>
        <w:rPr>
          <w:rFonts w:hint="eastAsia" w:ascii="仿宋" w:hAnsi="仿宋" w:eastAsia="仿宋" w:cs="仿宋"/>
          <w:snapToGrid w:val="0"/>
          <w:color w:val="000000"/>
          <w:spacing w:val="22"/>
          <w:kern w:val="0"/>
          <w:sz w:val="28"/>
          <w:szCs w:val="28"/>
          <w:lang w:val="en-US" w:eastAsia="zh-CN" w:bidi="ar-SA"/>
        </w:rPr>
        <w:t>压功率模块（阳极高压模块）一个，</w:t>
      </w:r>
    </w:p>
    <w:p w14:paraId="2AFE33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48" w:firstLineChars="200"/>
        <w:textAlignment w:val="baseline"/>
        <w:rPr>
          <w:rFonts w:hint="eastAsia" w:ascii="仿宋" w:hAnsi="仿宋" w:eastAsia="仿宋" w:cs="仿宋"/>
          <w:snapToGrid w:val="0"/>
          <w:color w:val="000000"/>
          <w:spacing w:val="22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22"/>
          <w:kern w:val="0"/>
          <w:sz w:val="28"/>
          <w:szCs w:val="28"/>
          <w:lang w:val="en-US" w:eastAsia="zh-CN" w:bidi="ar-SA"/>
        </w:rPr>
        <w:t>③阴极模块熔断器/高压阳极熔断器五个</w:t>
      </w:r>
      <w:r>
        <w:rPr>
          <w:rFonts w:hint="eastAsia" w:ascii="仿宋" w:hAnsi="仿宋" w:eastAsia="仿宋" w:cs="仿宋"/>
          <w:snapToGrid w:val="0"/>
          <w:color w:val="000000"/>
          <w:spacing w:val="22"/>
          <w:kern w:val="0"/>
          <w:sz w:val="28"/>
          <w:szCs w:val="28"/>
          <w:lang w:val="en-US" w:eastAsia="zh-CN" w:bidi="ar-SA"/>
        </w:rPr>
        <w:t xml:space="preserve">，   </w:t>
      </w:r>
    </w:p>
    <w:p w14:paraId="49CD889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right="0" w:rightChars="0" w:firstLine="648" w:firstLineChars="200"/>
        <w:textAlignment w:val="baseline"/>
        <w:rPr>
          <w:rFonts w:hint="eastAsia" w:ascii="仿宋" w:hAnsi="仿宋" w:eastAsia="仿宋" w:cs="仿宋"/>
          <w:snapToGrid w:val="0"/>
          <w:color w:val="000000"/>
          <w:spacing w:val="22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22"/>
          <w:kern w:val="0"/>
          <w:sz w:val="28"/>
          <w:szCs w:val="28"/>
          <w:lang w:val="en-US" w:eastAsia="zh-CN" w:bidi="ar-SA"/>
        </w:rPr>
        <w:t>④ACS 球管阳极驱动控制信号处理组件一个。</w:t>
      </w:r>
    </w:p>
    <w:p w14:paraId="630AC573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right="0" w:rightChars="0" w:firstLine="648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napToGrid w:val="0"/>
          <w:color w:val="000000"/>
          <w:spacing w:val="22"/>
          <w:kern w:val="0"/>
          <w:sz w:val="28"/>
          <w:szCs w:val="28"/>
          <w:lang w:val="en-US" w:eastAsia="zh-CN" w:bidi="ar-SA"/>
        </w:rPr>
        <w:t>⑤零部件全部为原厂全新零部件</w:t>
      </w:r>
      <w:r>
        <w:rPr>
          <w:rFonts w:hint="eastAsia" w:ascii="仿宋" w:hAnsi="仿宋" w:eastAsia="仿宋" w:cs="仿宋"/>
          <w:spacing w:val="22"/>
          <w:kern w:val="0"/>
          <w:sz w:val="28"/>
          <w:szCs w:val="28"/>
          <w:lang w:val="en-US" w:eastAsia="zh-CN" w:bidi="ar-SA"/>
        </w:rPr>
        <w:t>。</w:t>
      </w:r>
    </w:p>
    <w:p w14:paraId="1E4BDAFB">
      <w:pPr>
        <w:spacing w:line="6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★三、商务及其他要求</w:t>
      </w:r>
    </w:p>
    <w:p w14:paraId="7DF8B933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22"/>
          <w:sz w:val="28"/>
          <w:szCs w:val="28"/>
        </w:rPr>
        <w:t>(1)质保期：验收合格后6个月。</w:t>
      </w:r>
    </w:p>
    <w:p w14:paraId="3645218A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5"/>
          <w:sz w:val="28"/>
          <w:szCs w:val="28"/>
        </w:rPr>
        <w:t>(2)交货期：合同签订生效后，收到采购人通知后</w:t>
      </w:r>
      <w:r>
        <w:rPr>
          <w:rFonts w:hint="eastAsia" w:ascii="仿宋" w:hAnsi="仿宋" w:eastAsia="仿宋" w:cs="仿宋"/>
          <w:spacing w:val="15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pacing w:val="15"/>
          <w:sz w:val="28"/>
          <w:szCs w:val="28"/>
        </w:rPr>
        <w:t>日内完成</w:t>
      </w:r>
      <w:r>
        <w:rPr>
          <w:rFonts w:hint="eastAsia" w:ascii="仿宋" w:hAnsi="仿宋" w:eastAsia="仿宋" w:cs="仿宋"/>
          <w:spacing w:val="15"/>
          <w:sz w:val="28"/>
          <w:szCs w:val="28"/>
          <w:lang w:eastAsia="zh-CN"/>
        </w:rPr>
        <w:t>配件交接，并按照设备运行要求安装调试</w:t>
      </w:r>
      <w:r>
        <w:rPr>
          <w:rFonts w:hint="eastAsia" w:ascii="仿宋" w:hAnsi="仿宋" w:eastAsia="仿宋" w:cs="仿宋"/>
          <w:spacing w:val="15"/>
          <w:sz w:val="28"/>
          <w:szCs w:val="28"/>
        </w:rPr>
        <w:t>并</w:t>
      </w:r>
      <w:r>
        <w:rPr>
          <w:rFonts w:hint="eastAsia" w:ascii="仿宋" w:hAnsi="仿宋" w:eastAsia="仿宋" w:cs="仿宋"/>
          <w:spacing w:val="6"/>
          <w:sz w:val="28"/>
          <w:szCs w:val="28"/>
        </w:rPr>
        <w:t>交付采购人验收</w:t>
      </w:r>
      <w:r>
        <w:rPr>
          <w:rFonts w:hint="eastAsia" w:ascii="仿宋" w:hAnsi="仿宋" w:eastAsia="仿宋" w:cs="仿宋"/>
          <w:spacing w:val="6"/>
          <w:sz w:val="28"/>
          <w:szCs w:val="28"/>
          <w:lang w:eastAsia="zh-CN"/>
        </w:rPr>
        <w:t>使用</w:t>
      </w:r>
      <w:r>
        <w:rPr>
          <w:rFonts w:hint="eastAsia" w:ascii="仿宋" w:hAnsi="仿宋" w:eastAsia="仿宋" w:cs="仿宋"/>
          <w:spacing w:val="6"/>
          <w:sz w:val="28"/>
          <w:szCs w:val="28"/>
        </w:rPr>
        <w:t>。</w:t>
      </w:r>
    </w:p>
    <w:p w14:paraId="059587B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textAlignment w:val="baseline"/>
        <w:rPr>
          <w:rFonts w:hint="eastAsia" w:ascii="仿宋" w:hAnsi="仿宋" w:eastAsia="仿宋" w:cs="仿宋"/>
          <w:snapToGrid w:val="0"/>
          <w:color w:val="000000"/>
          <w:spacing w:val="15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（3）</w:t>
      </w:r>
      <w:r>
        <w:rPr>
          <w:rFonts w:hint="eastAsia" w:ascii="仿宋" w:hAnsi="仿宋" w:eastAsia="仿宋" w:cs="仿宋"/>
          <w:snapToGrid w:val="0"/>
          <w:color w:val="000000"/>
          <w:spacing w:val="15"/>
          <w:kern w:val="0"/>
          <w:sz w:val="28"/>
          <w:szCs w:val="28"/>
          <w:lang w:val="en-US" w:eastAsia="zh-CN" w:bidi="ar-SA"/>
        </w:rPr>
        <w:t>响应时间：中标供应商应承诺质保期内接到采购人维修售后电话1小时内到达现场，及时处理完成，保证设备正常运行。</w:t>
      </w:r>
    </w:p>
    <w:p w14:paraId="54ECC59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textAlignment w:val="baseline"/>
        <w:rPr>
          <w:rFonts w:hint="default" w:ascii="仿宋" w:hAnsi="仿宋" w:eastAsia="仿宋" w:cs="仿宋"/>
          <w:snapToGrid w:val="0"/>
          <w:color w:val="000000"/>
          <w:spacing w:val="15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15"/>
          <w:kern w:val="0"/>
          <w:sz w:val="28"/>
          <w:szCs w:val="28"/>
          <w:lang w:val="en-US" w:eastAsia="zh-CN" w:bidi="ar-SA"/>
        </w:rPr>
        <w:t>（4）支付方式：设备验收合格正常使后30日内，甲方在收到乙方开具的正式、合法、等额、有效的完税发票后，向乙方一次性支付合同总款。</w:t>
      </w:r>
    </w:p>
    <w:p w14:paraId="4502618B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 w:val="0"/>
          <w:color w:val="auto"/>
          <w:sz w:val="32"/>
          <w:szCs w:val="32"/>
          <w:highlight w:val="none"/>
          <w:lang w:val="en-US" w:eastAsia="zh-CN"/>
        </w:rPr>
      </w:pPr>
    </w:p>
    <w:bookmarkEnd w:id="0"/>
    <w:bookmarkEnd w:id="1"/>
    <w:p w14:paraId="7E251FF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/>
          <w:b/>
          <w:bCs/>
          <w:color w:val="auto"/>
          <w:sz w:val="22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注：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以上带★号条款为实质性要求。</w:t>
      </w:r>
    </w:p>
    <w:p w14:paraId="4244C272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本项目所涉及的所有国家标准、地方标准、行业标准等如有最新的标准以最新标准为准。</w:t>
      </w:r>
    </w:p>
    <w:p w14:paraId="466D57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4"/>
          <w:szCs w:val="24"/>
          <w:highlight w:val="none"/>
          <w:lang w:val="en-US" w:eastAsia="zh-CN"/>
        </w:rPr>
      </w:pPr>
    </w:p>
    <w:p w14:paraId="3E59B0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4"/>
          <w:szCs w:val="24"/>
          <w:highlight w:val="none"/>
          <w:lang w:val="en-US" w:eastAsia="zh-CN"/>
        </w:rPr>
      </w:pPr>
    </w:p>
    <w:p w14:paraId="7D7D32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4"/>
          <w:szCs w:val="24"/>
          <w:highlight w:val="none"/>
          <w:lang w:val="en-US" w:eastAsia="zh-CN"/>
        </w:rPr>
      </w:pPr>
    </w:p>
    <w:p w14:paraId="5CB73D77"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br w:type="page"/>
      </w:r>
    </w:p>
    <w:p w14:paraId="2D3CDA3D">
      <w:pPr>
        <w:spacing w:line="360" w:lineRule="auto"/>
        <w:outlineLvl w:val="0"/>
        <w:rPr>
          <w:rFonts w:hint="eastAsia" w:ascii="Calibri" w:hAnsi="Calibri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Calibri" w:hAnsi="Calibri"/>
          <w:b/>
          <w:bCs/>
          <w:color w:val="auto"/>
          <w:sz w:val="32"/>
          <w:szCs w:val="32"/>
        </w:rPr>
        <w:t>附件2：报价</w:t>
      </w:r>
      <w:r>
        <w:rPr>
          <w:rFonts w:hint="eastAsia" w:ascii="Calibri" w:hAnsi="Calibri"/>
          <w:b/>
          <w:bCs/>
          <w:color w:val="auto"/>
          <w:sz w:val="32"/>
          <w:szCs w:val="32"/>
          <w:lang w:val="en-US" w:eastAsia="zh-CN"/>
        </w:rPr>
        <w:t>格式</w:t>
      </w:r>
    </w:p>
    <w:p w14:paraId="1BF80C22">
      <w:pPr>
        <w:rPr>
          <w:rFonts w:hint="eastAsia" w:ascii="Calibri" w:hAnsi="Calibri"/>
          <w:b/>
          <w:bCs/>
          <w:color w:val="auto"/>
          <w:sz w:val="32"/>
          <w:szCs w:val="32"/>
          <w:lang w:val="en-US" w:eastAsia="zh-CN"/>
        </w:rPr>
      </w:pPr>
    </w:p>
    <w:tbl>
      <w:tblPr>
        <w:tblStyle w:val="12"/>
        <w:tblW w:w="101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0"/>
        <w:gridCol w:w="4437"/>
        <w:gridCol w:w="1229"/>
        <w:gridCol w:w="1138"/>
        <w:gridCol w:w="1733"/>
      </w:tblGrid>
      <w:tr w14:paraId="61440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570" w:type="dxa"/>
            <w:noWrap w:val="0"/>
            <w:vAlign w:val="center"/>
          </w:tcPr>
          <w:p w14:paraId="16FE6383">
            <w:pPr>
              <w:jc w:val="center"/>
              <w:rPr>
                <w:rFonts w:hint="eastAsia" w:ascii="仿宋" w:hAnsi="仿宋" w:eastAsia="仿宋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设备名称</w:t>
            </w:r>
          </w:p>
        </w:tc>
        <w:tc>
          <w:tcPr>
            <w:tcW w:w="4437" w:type="dxa"/>
            <w:noWrap w:val="0"/>
            <w:vAlign w:val="center"/>
          </w:tcPr>
          <w:p w14:paraId="1E92F476">
            <w:pPr>
              <w:jc w:val="center"/>
              <w:rPr>
                <w:rFonts w:hint="default" w:ascii="仿宋" w:hAnsi="仿宋" w:eastAsia="仿宋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配件名称</w:t>
            </w:r>
          </w:p>
        </w:tc>
        <w:tc>
          <w:tcPr>
            <w:tcW w:w="1229" w:type="dxa"/>
            <w:noWrap w:val="0"/>
            <w:vAlign w:val="center"/>
          </w:tcPr>
          <w:p w14:paraId="55F47DF3">
            <w:pPr>
              <w:jc w:val="center"/>
              <w:rPr>
                <w:rFonts w:hint="default" w:ascii="仿宋" w:hAnsi="仿宋" w:eastAsia="仿宋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单位</w:t>
            </w:r>
          </w:p>
        </w:tc>
        <w:tc>
          <w:tcPr>
            <w:tcW w:w="1138" w:type="dxa"/>
            <w:noWrap w:val="0"/>
            <w:vAlign w:val="center"/>
          </w:tcPr>
          <w:p w14:paraId="453895F1">
            <w:pPr>
              <w:jc w:val="center"/>
              <w:rPr>
                <w:rFonts w:hint="default" w:ascii="仿宋" w:hAnsi="仿宋" w:eastAsia="仿宋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数量</w:t>
            </w:r>
          </w:p>
        </w:tc>
        <w:tc>
          <w:tcPr>
            <w:tcW w:w="1733" w:type="dxa"/>
            <w:noWrap w:val="0"/>
            <w:vAlign w:val="center"/>
          </w:tcPr>
          <w:p w14:paraId="0DF09196">
            <w:pPr>
              <w:jc w:val="center"/>
              <w:rPr>
                <w:rFonts w:hint="eastAsia" w:ascii="仿宋" w:hAnsi="仿宋" w:eastAsia="仿宋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单价（元）</w:t>
            </w:r>
          </w:p>
        </w:tc>
      </w:tr>
      <w:tr w14:paraId="3BC58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1570" w:type="dxa"/>
            <w:vMerge w:val="restart"/>
            <w:noWrap w:val="0"/>
            <w:vAlign w:val="center"/>
          </w:tcPr>
          <w:p w14:paraId="66B10C7C"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zh-CN" w:bidi="ar-SA"/>
              </w:rPr>
              <w:t>飞利浦16排CT</w:t>
            </w:r>
          </w:p>
        </w:tc>
        <w:tc>
          <w:tcPr>
            <w:tcW w:w="4437" w:type="dxa"/>
            <w:noWrap w:val="0"/>
            <w:vAlign w:val="center"/>
          </w:tcPr>
          <w:p w14:paraId="631D4D8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bookmarkStart w:id="2" w:name="_GoBack"/>
            <w:r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zh-CN" w:bidi="ar-SA"/>
              </w:rPr>
              <w:t>高压系统单路输出直流辅助电源模块</w:t>
            </w:r>
            <w:bookmarkEnd w:id="2"/>
          </w:p>
        </w:tc>
        <w:tc>
          <w:tcPr>
            <w:tcW w:w="1229" w:type="dxa"/>
            <w:noWrap w:val="0"/>
            <w:vAlign w:val="center"/>
          </w:tcPr>
          <w:p w14:paraId="224BB96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个</w:t>
            </w:r>
          </w:p>
        </w:tc>
        <w:tc>
          <w:tcPr>
            <w:tcW w:w="1138" w:type="dxa"/>
            <w:shd w:val="clear"/>
            <w:noWrap w:val="0"/>
            <w:vAlign w:val="center"/>
          </w:tcPr>
          <w:p w14:paraId="045EFEA7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733" w:type="dxa"/>
            <w:noWrap w:val="0"/>
            <w:vAlign w:val="center"/>
          </w:tcPr>
          <w:p w14:paraId="16B9DD3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BA27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  <w:jc w:val="center"/>
        </w:trPr>
        <w:tc>
          <w:tcPr>
            <w:tcW w:w="1570" w:type="dxa"/>
            <w:vMerge w:val="continue"/>
            <w:noWrap w:val="0"/>
            <w:vAlign w:val="center"/>
          </w:tcPr>
          <w:p w14:paraId="7F2E7BFF"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4437" w:type="dxa"/>
            <w:noWrap w:val="0"/>
            <w:vAlign w:val="center"/>
          </w:tcPr>
          <w:p w14:paraId="3562BD5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zh-CN" w:bidi="ar-SA"/>
              </w:rPr>
              <w:t>X线球管阳极逆变高压功率模块（阳极高压模块）</w:t>
            </w:r>
          </w:p>
        </w:tc>
        <w:tc>
          <w:tcPr>
            <w:tcW w:w="1229" w:type="dxa"/>
            <w:noWrap w:val="0"/>
            <w:vAlign w:val="center"/>
          </w:tcPr>
          <w:p w14:paraId="2186CE9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个</w:t>
            </w:r>
          </w:p>
        </w:tc>
        <w:tc>
          <w:tcPr>
            <w:tcW w:w="1138" w:type="dxa"/>
            <w:shd w:val="clear"/>
            <w:noWrap w:val="0"/>
            <w:vAlign w:val="center"/>
          </w:tcPr>
          <w:p w14:paraId="6408DD1D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733" w:type="dxa"/>
            <w:noWrap w:val="0"/>
            <w:vAlign w:val="center"/>
          </w:tcPr>
          <w:p w14:paraId="68ED600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D212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  <w:jc w:val="center"/>
        </w:trPr>
        <w:tc>
          <w:tcPr>
            <w:tcW w:w="1570" w:type="dxa"/>
            <w:vMerge w:val="continue"/>
            <w:noWrap w:val="0"/>
            <w:vAlign w:val="center"/>
          </w:tcPr>
          <w:p w14:paraId="140B2240"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4437" w:type="dxa"/>
            <w:noWrap w:val="0"/>
            <w:vAlign w:val="center"/>
          </w:tcPr>
          <w:p w14:paraId="4D9D807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zh-CN" w:bidi="ar-SA"/>
              </w:rPr>
              <w:t>阴极模块熔断器/高压阳极熔断器</w:t>
            </w:r>
          </w:p>
        </w:tc>
        <w:tc>
          <w:tcPr>
            <w:tcW w:w="1229" w:type="dxa"/>
            <w:noWrap w:val="0"/>
            <w:vAlign w:val="center"/>
          </w:tcPr>
          <w:p w14:paraId="64BFCD0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个</w:t>
            </w:r>
          </w:p>
        </w:tc>
        <w:tc>
          <w:tcPr>
            <w:tcW w:w="1138" w:type="dxa"/>
            <w:shd w:val="clear"/>
            <w:noWrap w:val="0"/>
            <w:vAlign w:val="center"/>
          </w:tcPr>
          <w:p w14:paraId="7E302317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1733" w:type="dxa"/>
            <w:noWrap w:val="0"/>
            <w:vAlign w:val="center"/>
          </w:tcPr>
          <w:p w14:paraId="666E5A7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4B31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  <w:jc w:val="center"/>
        </w:trPr>
        <w:tc>
          <w:tcPr>
            <w:tcW w:w="1570" w:type="dxa"/>
            <w:vMerge w:val="continue"/>
            <w:noWrap w:val="0"/>
            <w:vAlign w:val="center"/>
          </w:tcPr>
          <w:p w14:paraId="21EE4520"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4437" w:type="dxa"/>
            <w:noWrap w:val="0"/>
            <w:vAlign w:val="center"/>
          </w:tcPr>
          <w:p w14:paraId="5ED806E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zh-CN" w:bidi="ar-SA"/>
              </w:rPr>
              <w:t>ACS 球管阳极驱动控制信号处理组件</w:t>
            </w:r>
          </w:p>
        </w:tc>
        <w:tc>
          <w:tcPr>
            <w:tcW w:w="1229" w:type="dxa"/>
            <w:noWrap w:val="0"/>
            <w:vAlign w:val="center"/>
          </w:tcPr>
          <w:p w14:paraId="43B9EE6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个</w:t>
            </w:r>
          </w:p>
        </w:tc>
        <w:tc>
          <w:tcPr>
            <w:tcW w:w="1138" w:type="dxa"/>
            <w:shd w:val="clear"/>
            <w:noWrap w:val="0"/>
            <w:vAlign w:val="center"/>
          </w:tcPr>
          <w:p w14:paraId="744279F5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733" w:type="dxa"/>
            <w:noWrap w:val="0"/>
            <w:vAlign w:val="center"/>
          </w:tcPr>
          <w:p w14:paraId="600641E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3798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10107" w:type="dxa"/>
            <w:gridSpan w:val="5"/>
            <w:noWrap w:val="0"/>
            <w:vAlign w:val="center"/>
          </w:tcPr>
          <w:p w14:paraId="1C714BDD">
            <w:pPr>
              <w:pStyle w:val="6"/>
              <w:numPr>
                <w:ilvl w:val="0"/>
                <w:numId w:val="0"/>
              </w:numPr>
              <w:spacing w:after="0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大写总价（元）：</w:t>
            </w:r>
            <w:r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u w:val="single"/>
                <w:lang w:val="en-US" w:eastAsia="zh-CN" w:bidi="ar-SA"/>
              </w:rPr>
              <w:t xml:space="preserve">             </w:t>
            </w:r>
            <w:r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；小写</w:t>
            </w:r>
            <w:r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总价（万元）：</w:t>
            </w:r>
            <w:r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u w:val="single"/>
                <w:lang w:val="en-US" w:eastAsia="zh-CN" w:bidi="ar-SA"/>
              </w:rPr>
              <w:t xml:space="preserve">             </w:t>
            </w:r>
          </w:p>
        </w:tc>
      </w:tr>
    </w:tbl>
    <w:p w14:paraId="462F114C">
      <w:pPr>
        <w:pStyle w:val="4"/>
        <w:rPr>
          <w:rFonts w:hint="eastAsia"/>
          <w:lang w:val="en-US" w:eastAsia="zh-CN"/>
        </w:rPr>
      </w:pPr>
    </w:p>
    <w:p w14:paraId="1C402287">
      <w:pPr>
        <w:rPr>
          <w:rFonts w:hint="eastAsia"/>
          <w:lang w:val="en-US" w:eastAsia="zh-CN"/>
        </w:rPr>
      </w:pPr>
    </w:p>
    <w:p w14:paraId="59D0C6F3">
      <w:pPr>
        <w:jc w:val="left"/>
        <w:rPr>
          <w:rFonts w:hint="eastAsia" w:ascii="仿宋" w:hAnsi="仿宋" w:eastAsia="仿宋" w:cs="Times New Roman"/>
          <w:color w:val="0000FF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color w:val="auto"/>
          <w:kern w:val="2"/>
          <w:sz w:val="28"/>
          <w:szCs w:val="28"/>
          <w:lang w:val="en-US" w:eastAsia="zh-CN" w:bidi="ar-SA"/>
        </w:rPr>
        <w:t>备注：报价表如有列举项目不全的，各报价公司可以在原表上添项，不能改变原表格内容，报价表最多保留小数点后两位。报价合计总价在列表末汇总，此报价单须单独密封。</w:t>
      </w:r>
    </w:p>
    <w:p w14:paraId="7D539EBD"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br w:type="page"/>
      </w:r>
    </w:p>
    <w:p w14:paraId="37AC5681">
      <w:pPr>
        <w:spacing w:line="360" w:lineRule="auto"/>
        <w:outlineLvl w:val="1"/>
        <w:rPr>
          <w:color w:val="auto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附件3：报名登记表</w:t>
      </w:r>
    </w:p>
    <w:p w14:paraId="11D5D951">
      <w:pPr>
        <w:jc w:val="center"/>
        <w:rPr>
          <w:rFonts w:ascii="华文中宋" w:hAnsi="华文中宋" w:eastAsia="华文中宋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/>
          <w:b/>
          <w:color w:val="auto"/>
          <w:sz w:val="36"/>
          <w:szCs w:val="36"/>
        </w:rPr>
        <w:t>报名登记表</w:t>
      </w:r>
    </w:p>
    <w:tbl>
      <w:tblPr>
        <w:tblStyle w:val="12"/>
        <w:tblpPr w:leftFromText="180" w:rightFromText="180" w:vertAnchor="text" w:horzAnchor="page" w:tblpX="1275" w:tblpY="100"/>
        <w:tblOverlap w:val="never"/>
        <w:tblW w:w="9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7"/>
        <w:gridCol w:w="1990"/>
        <w:gridCol w:w="1447"/>
        <w:gridCol w:w="2605"/>
      </w:tblGrid>
      <w:tr w14:paraId="6E791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</w:trPr>
        <w:tc>
          <w:tcPr>
            <w:tcW w:w="3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25D73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报名项目名称（包号）</w:t>
            </w:r>
          </w:p>
        </w:tc>
        <w:tc>
          <w:tcPr>
            <w:tcW w:w="6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8E5F4">
            <w:pPr>
              <w:pStyle w:val="6"/>
              <w:jc w:val="center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成都市新津区中医医院医疗设备配件采购项目询预算价</w:t>
            </w:r>
          </w:p>
        </w:tc>
      </w:tr>
      <w:tr w14:paraId="4A90D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3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D3EAE">
            <w:pPr>
              <w:ind w:firstLine="280" w:firstLineChars="100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报名单位 /个人名称</w:t>
            </w:r>
          </w:p>
          <w:p w14:paraId="0CD2B98E">
            <w:pPr>
              <w:ind w:firstLine="236" w:firstLineChars="98"/>
              <w:rPr>
                <w:rFonts w:ascii="仿宋" w:hAnsi="仿宋" w:eastAsia="仿宋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color w:val="auto"/>
                <w:kern w:val="2"/>
                <w:sz w:val="24"/>
                <w:szCs w:val="22"/>
              </w:rPr>
              <w:t>(统一社会信用代码/税号)</w:t>
            </w:r>
          </w:p>
        </w:tc>
        <w:tc>
          <w:tcPr>
            <w:tcW w:w="6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543E9F">
            <w:pPr>
              <w:jc w:val="center"/>
              <w:rPr>
                <w:rFonts w:hint="default" w:ascii="仿宋" w:hAnsi="仿宋" w:eastAsia="仿宋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 xml:space="preserve">                              （盖章）</w:t>
            </w:r>
          </w:p>
        </w:tc>
      </w:tr>
      <w:tr w14:paraId="27FFF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3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A20BC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单位  / 个人地址</w:t>
            </w:r>
          </w:p>
        </w:tc>
        <w:tc>
          <w:tcPr>
            <w:tcW w:w="6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FF0918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</w:p>
        </w:tc>
      </w:tr>
      <w:tr w14:paraId="74FAD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3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C20EF">
            <w:pPr>
              <w:jc w:val="center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单位电话</w:t>
            </w:r>
            <w:r>
              <w:rPr>
                <w:rFonts w:hint="eastAsia" w:ascii="仿宋" w:hAnsi="仿宋" w:eastAsia="仿宋"/>
                <w:color w:val="auto"/>
                <w:kern w:val="2"/>
                <w:sz w:val="24"/>
                <w:szCs w:val="22"/>
              </w:rPr>
              <w:t xml:space="preserve"> </w:t>
            </w:r>
          </w:p>
        </w:tc>
        <w:tc>
          <w:tcPr>
            <w:tcW w:w="6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57CFC7">
            <w:pPr>
              <w:rPr>
                <w:rFonts w:ascii="仿宋" w:hAnsi="仿宋" w:eastAsia="仿宋"/>
                <w:color w:val="auto"/>
                <w:kern w:val="2"/>
                <w:sz w:val="24"/>
                <w:szCs w:val="24"/>
              </w:rPr>
            </w:pPr>
          </w:p>
        </w:tc>
      </w:tr>
      <w:tr w14:paraId="31CB2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3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C4445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>*经办</w:t>
            </w: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联系人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96C5A9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55E6C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手 机</w:t>
            </w:r>
          </w:p>
        </w:tc>
        <w:tc>
          <w:tcPr>
            <w:tcW w:w="2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394D50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</w:p>
        </w:tc>
      </w:tr>
      <w:tr w14:paraId="76A06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3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671E4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邮     箱</w:t>
            </w:r>
          </w:p>
        </w:tc>
        <w:tc>
          <w:tcPr>
            <w:tcW w:w="6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62C4E7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</w:p>
        </w:tc>
      </w:tr>
      <w:tr w14:paraId="09D2F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3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B1C73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备     注</w:t>
            </w:r>
          </w:p>
        </w:tc>
        <w:tc>
          <w:tcPr>
            <w:tcW w:w="6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FE031A">
            <w:pPr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</w:p>
        </w:tc>
      </w:tr>
    </w:tbl>
    <w:p w14:paraId="28E9893F">
      <w:pPr>
        <w:jc w:val="both"/>
        <w:rPr>
          <w:rFonts w:ascii="Times New Roman"/>
          <w:color w:val="auto"/>
          <w:kern w:val="2"/>
          <w:sz w:val="21"/>
        </w:rPr>
      </w:pPr>
    </w:p>
    <w:p w14:paraId="6743D11D">
      <w:pPr>
        <w:spacing w:line="360" w:lineRule="auto"/>
        <w:rPr>
          <w:rFonts w:hint="default" w:ascii="仿宋" w:hAnsi="仿宋" w:eastAsia="仿宋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</w:rPr>
        <w:t xml:space="preserve">    </w:t>
      </w: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采购单位联系人：</w:t>
      </w: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潘老师、周</w:t>
      </w: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老师</w:t>
      </w: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 xml:space="preserve"> 028-82526150</w:t>
      </w: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邮箱845865477@qq.com</w:t>
      </w:r>
    </w:p>
    <w:p w14:paraId="3E4B405A">
      <w:pPr>
        <w:spacing w:line="360" w:lineRule="auto"/>
        <w:rPr>
          <w:rFonts w:hint="eastAsia" w:ascii="仿宋" w:hAnsi="仿宋" w:eastAsia="仿宋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注:提供（1）报名登记表扫描件（2）投标单位营业执照正、副本复印件（3）经办人身份证复印件（以上三条均需加盖供应商公章，提供扫描至以上邮箱）（4）</w:t>
      </w:r>
      <w:r>
        <w:rPr>
          <w:rFonts w:hint="eastAsia" w:ascii="仿宋" w:hAnsi="仿宋" w:eastAsia="仿宋" w:cs="Times New Roman"/>
          <w:color w:val="auto"/>
          <w:sz w:val="24"/>
          <w:szCs w:val="24"/>
          <w:highlight w:val="none"/>
          <w:lang w:val="en-US" w:eastAsia="zh-CN"/>
        </w:rPr>
        <w:t>递交响应文件时，把以上3项资料盖章资料一并递交，此3项资料无需密封。</w:t>
      </w:r>
    </w:p>
    <w:p w14:paraId="25C40584">
      <w:pPr>
        <w:spacing w:line="360" w:lineRule="auto"/>
        <w:rPr>
          <w:color w:val="auto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投标单位购买招标文件时请如实认真填写报名登记表和投标人信息；若因投标单位提供的错误或不实信息，对其投标事宜造成影响的，由其投标单位自行承担所有责任。</w:t>
      </w:r>
    </w:p>
    <w:sectPr>
      <w:footerReference r:id="rId3" w:type="default"/>
      <w:pgSz w:w="11906" w:h="16838"/>
      <w:pgMar w:top="1587" w:right="1587" w:bottom="158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F204F19-7E4F-4C19-A06F-EE65033E4E1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B3F2D7D-A926-4C1B-80F5-D5FBA9428280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076B3E0B-BB8C-48C2-A9C6-132619F3D23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2169128-D90C-4D70-8911-61730E60F4F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95183E78-BFD8-40B4-A74D-F449952BC4F2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68D4F98C-2E1D-428F-B61C-40DFF3F74A4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42EC3C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019865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019865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7E4A69"/>
    <w:multiLevelType w:val="singleLevel"/>
    <w:tmpl w:val="A17E4A69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ADCAB731"/>
    <w:multiLevelType w:val="singleLevel"/>
    <w:tmpl w:val="ADCAB731"/>
    <w:lvl w:ilvl="0" w:tentative="0">
      <w:start w:val="1"/>
      <w:numFmt w:val="decimal"/>
      <w:suff w:val="nothing"/>
      <w:lvlText w:val="%1、"/>
      <w:lvlJc w:val="left"/>
      <w:pPr>
        <w:ind w:left="-18"/>
      </w:pPr>
    </w:lvl>
  </w:abstractNum>
  <w:abstractNum w:abstractNumId="2">
    <w:nsid w:val="B04D8E0A"/>
    <w:multiLevelType w:val="multilevel"/>
    <w:tmpl w:val="B04D8E0A"/>
    <w:lvl w:ilvl="0" w:tentative="0">
      <w:start w:val="1"/>
      <w:numFmt w:val="chineseCounting"/>
      <w:suff w:val="nothing"/>
      <w:lvlText w:val="第%1章 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1" w:tentative="0">
      <w:start w:val="1"/>
      <w:numFmt w:val="chineseCounting"/>
      <w:suff w:val="nothing"/>
      <w:lvlText w:val="%2、"/>
      <w:lvlJc w:val="left"/>
      <w:pPr>
        <w:ind w:left="0" w:firstLine="0"/>
      </w:pPr>
      <w:rPr>
        <w:rFonts w:hint="eastAsia" w:ascii="宋体" w:hAnsi="宋体" w:eastAsia="宋体" w:cs="宋体"/>
      </w:rPr>
    </w:lvl>
    <w:lvl w:ilvl="2" w:tentative="0">
      <w:start w:val="1"/>
      <w:numFmt w:val="chineseCounting"/>
      <w:suff w:val="nothing"/>
      <w:lvlText w:val="(%3)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3" w:tentative="0">
      <w:start w:val="1"/>
      <w:numFmt w:val="decimal"/>
      <w:pStyle w:val="18"/>
      <w:suff w:val="nothing"/>
      <w:lvlText w:val="%4."/>
      <w:lvlJc w:val="left"/>
      <w:pPr>
        <w:tabs>
          <w:tab w:val="left" w:pos="709"/>
        </w:tabs>
        <w:ind w:left="709" w:firstLine="0"/>
      </w:pPr>
      <w:rPr>
        <w:rFonts w:hint="eastAsia" w:ascii="宋体" w:hAnsi="宋体" w:eastAsia="宋体" w:cs="宋体"/>
      </w:rPr>
    </w:lvl>
    <w:lvl w:ilvl="4" w:tentative="0">
      <w:start w:val="1"/>
      <w:numFmt w:val="decimal"/>
      <w:suff w:val="nothing"/>
      <w:lvlText w:val="%4.%5"/>
      <w:lvlJc w:val="left"/>
      <w:pPr>
        <w:ind w:left="0" w:firstLine="0"/>
      </w:pPr>
      <w:rPr>
        <w:rFonts w:hint="eastAsia" w:ascii="宋体" w:hAnsi="宋体" w:eastAsia="宋体" w:cs="宋体"/>
      </w:rPr>
    </w:lvl>
    <w:lvl w:ilvl="5" w:tentative="0">
      <w:start w:val="1"/>
      <w:numFmt w:val="decimal"/>
      <w:suff w:val="nothing"/>
      <w:lvlText w:val="(%6)"/>
      <w:lvlJc w:val="left"/>
      <w:pPr>
        <w:ind w:left="0" w:firstLine="0"/>
      </w:pPr>
      <w:rPr>
        <w:rFonts w:hint="eastAsia" w:ascii="宋体" w:hAnsi="宋体" w:eastAsia="宋体" w:cs="宋体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abstractNum w:abstractNumId="3">
    <w:nsid w:val="E56B2D59"/>
    <w:multiLevelType w:val="singleLevel"/>
    <w:tmpl w:val="E56B2D5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738DD"/>
    <w:rsid w:val="03147D24"/>
    <w:rsid w:val="04E86B91"/>
    <w:rsid w:val="05B77E21"/>
    <w:rsid w:val="06140401"/>
    <w:rsid w:val="08A45E49"/>
    <w:rsid w:val="097B39EB"/>
    <w:rsid w:val="0A9B3267"/>
    <w:rsid w:val="0B5D63F7"/>
    <w:rsid w:val="0CD85E9D"/>
    <w:rsid w:val="0DEA754E"/>
    <w:rsid w:val="106B770F"/>
    <w:rsid w:val="10B14879"/>
    <w:rsid w:val="11213D01"/>
    <w:rsid w:val="11A5014C"/>
    <w:rsid w:val="12042B30"/>
    <w:rsid w:val="126F67ED"/>
    <w:rsid w:val="140C5B60"/>
    <w:rsid w:val="14382F65"/>
    <w:rsid w:val="14574547"/>
    <w:rsid w:val="14C25B10"/>
    <w:rsid w:val="14F95BEF"/>
    <w:rsid w:val="18B340A6"/>
    <w:rsid w:val="190653E0"/>
    <w:rsid w:val="19842E1A"/>
    <w:rsid w:val="1A0E09F0"/>
    <w:rsid w:val="1B7C3AD4"/>
    <w:rsid w:val="1BD75F80"/>
    <w:rsid w:val="1C3F50B7"/>
    <w:rsid w:val="1D610ED9"/>
    <w:rsid w:val="1ED55F80"/>
    <w:rsid w:val="1EEB62DA"/>
    <w:rsid w:val="216B5041"/>
    <w:rsid w:val="24036A14"/>
    <w:rsid w:val="259A0116"/>
    <w:rsid w:val="2A1F4553"/>
    <w:rsid w:val="2A4C77FE"/>
    <w:rsid w:val="2BBE3953"/>
    <w:rsid w:val="2C414E70"/>
    <w:rsid w:val="2C4A4172"/>
    <w:rsid w:val="2C731FE5"/>
    <w:rsid w:val="2DCE7F27"/>
    <w:rsid w:val="31D8451F"/>
    <w:rsid w:val="32DF1FDC"/>
    <w:rsid w:val="32FA3DAF"/>
    <w:rsid w:val="341449FD"/>
    <w:rsid w:val="346408E5"/>
    <w:rsid w:val="36A24542"/>
    <w:rsid w:val="3CE235AE"/>
    <w:rsid w:val="3E9055C8"/>
    <w:rsid w:val="40980764"/>
    <w:rsid w:val="409D1C34"/>
    <w:rsid w:val="417814E9"/>
    <w:rsid w:val="440B7D6A"/>
    <w:rsid w:val="468E0480"/>
    <w:rsid w:val="47A3117B"/>
    <w:rsid w:val="4A0855A2"/>
    <w:rsid w:val="4BD034A7"/>
    <w:rsid w:val="4D671A28"/>
    <w:rsid w:val="4F2627F5"/>
    <w:rsid w:val="4FC9093A"/>
    <w:rsid w:val="50992D05"/>
    <w:rsid w:val="529102F8"/>
    <w:rsid w:val="530C0109"/>
    <w:rsid w:val="533F3632"/>
    <w:rsid w:val="53857839"/>
    <w:rsid w:val="548B440F"/>
    <w:rsid w:val="54A35606"/>
    <w:rsid w:val="54DE6EBF"/>
    <w:rsid w:val="552C4C9E"/>
    <w:rsid w:val="594D4AA0"/>
    <w:rsid w:val="59CC4666"/>
    <w:rsid w:val="60E70C20"/>
    <w:rsid w:val="63D25003"/>
    <w:rsid w:val="64C86FBA"/>
    <w:rsid w:val="66D82E85"/>
    <w:rsid w:val="679C6C08"/>
    <w:rsid w:val="68796990"/>
    <w:rsid w:val="69245774"/>
    <w:rsid w:val="692F0EEA"/>
    <w:rsid w:val="69FA5E67"/>
    <w:rsid w:val="6A2C3362"/>
    <w:rsid w:val="6A961D0C"/>
    <w:rsid w:val="6B171FE9"/>
    <w:rsid w:val="6C792A1B"/>
    <w:rsid w:val="6D8871EF"/>
    <w:rsid w:val="6D9B3ACA"/>
    <w:rsid w:val="6E493DC7"/>
    <w:rsid w:val="717645B6"/>
    <w:rsid w:val="71856EF9"/>
    <w:rsid w:val="72EA3CE1"/>
    <w:rsid w:val="738A3634"/>
    <w:rsid w:val="74C05C36"/>
    <w:rsid w:val="761E6201"/>
    <w:rsid w:val="7A5358BD"/>
    <w:rsid w:val="7AEA1B74"/>
    <w:rsid w:val="7B1B5C3E"/>
    <w:rsid w:val="7C2330CA"/>
    <w:rsid w:val="7C4F2792"/>
    <w:rsid w:val="7C5739AD"/>
    <w:rsid w:val="7EDE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54A1" w:themeColor="accent1" w:themeShade="BF"/>
      <w:sz w:val="40"/>
      <w:szCs w:val="40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uiPriority w:val="0"/>
    <w:pPr>
      <w:ind w:firstLine="420" w:firstLineChars="200"/>
    </w:pPr>
  </w:style>
  <w:style w:type="paragraph" w:styleId="5">
    <w:name w:val="Body Text 3"/>
    <w:basedOn w:val="1"/>
    <w:unhideWhenUsed/>
    <w:qFormat/>
    <w:uiPriority w:val="99"/>
    <w:pPr>
      <w:jc w:val="center"/>
    </w:pPr>
    <w:rPr>
      <w:rFonts w:hint="eastAsia" w:hAnsi="Symbol"/>
      <w:sz w:val="10"/>
      <w:szCs w:val="24"/>
    </w:rPr>
  </w:style>
  <w:style w:type="paragraph" w:styleId="6">
    <w:name w:val="Body Text"/>
    <w:basedOn w:val="1"/>
    <w:next w:val="1"/>
    <w:qFormat/>
    <w:uiPriority w:val="99"/>
    <w:pPr>
      <w:spacing w:after="120"/>
    </w:pPr>
    <w:rPr>
      <w:rFonts w:ascii="宋体" w:hAnsi="Times New Roman"/>
      <w:kern w:val="0"/>
      <w:sz w:val="34"/>
      <w:szCs w:val="20"/>
    </w:rPr>
  </w:style>
  <w:style w:type="paragraph" w:styleId="7">
    <w:name w:val="Body Text Indent"/>
    <w:basedOn w:val="1"/>
    <w:qFormat/>
    <w:uiPriority w:val="0"/>
    <w:pPr>
      <w:spacing w:line="500" w:lineRule="exact"/>
      <w:ind w:left="832" w:leftChars="832" w:firstLine="433" w:firstLineChars="196"/>
    </w:pPr>
    <w:rPr>
      <w:sz w:val="24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First Indent"/>
    <w:basedOn w:val="6"/>
    <w:next w:val="1"/>
    <w:qFormat/>
    <w:uiPriority w:val="0"/>
    <w:pPr>
      <w:widowControl w:val="0"/>
      <w:spacing w:after="120" w:afterLines="0" w:line="240" w:lineRule="auto"/>
      <w:ind w:firstLine="420" w:firstLineChars="100"/>
    </w:pPr>
  </w:style>
  <w:style w:type="paragraph" w:styleId="11">
    <w:name w:val="Body Text First Indent 2"/>
    <w:basedOn w:val="7"/>
    <w:qFormat/>
    <w:uiPriority w:val="0"/>
    <w:pPr>
      <w:spacing w:after="120" w:line="240" w:lineRule="auto"/>
      <w:ind w:left="420" w:leftChars="200" w:firstLine="420"/>
    </w:pPr>
    <w:rPr>
      <w:sz w:val="21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正文1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="Times New Roman"/>
      <w:szCs w:val="22"/>
    </w:rPr>
  </w:style>
  <w:style w:type="paragraph" w:customStyle="1" w:styleId="17">
    <w:name w:val="02、首行缩进2字符正文"/>
    <w:basedOn w:val="1"/>
    <w:qFormat/>
    <w:uiPriority w:val="0"/>
    <w:pPr>
      <w:tabs>
        <w:tab w:val="left" w:pos="0"/>
      </w:tabs>
      <w:wordWrap w:val="0"/>
      <w:topLinePunct/>
      <w:ind w:firstLine="480" w:firstLineChars="200"/>
    </w:pPr>
  </w:style>
  <w:style w:type="paragraph" w:customStyle="1" w:styleId="18">
    <w:name w:val="17“1.”四级标题"/>
    <w:basedOn w:val="17"/>
    <w:qFormat/>
    <w:uiPriority w:val="0"/>
    <w:pPr>
      <w:numPr>
        <w:ilvl w:val="3"/>
        <w:numId w:val="1"/>
      </w:numPr>
      <w:ind w:firstLine="803"/>
    </w:pPr>
  </w:style>
  <w:style w:type="paragraph" w:customStyle="1" w:styleId="19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1755</Words>
  <Characters>1864</Characters>
  <Lines>0</Lines>
  <Paragraphs>0</Paragraphs>
  <TotalTime>1</TotalTime>
  <ScaleCrop>false</ScaleCrop>
  <LinksUpToDate>false</LinksUpToDate>
  <CharactersWithSpaces>1952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ASUS</cp:lastModifiedBy>
  <cp:lastPrinted>2026-08-05T03:25:40Z</cp:lastPrinted>
  <dcterms:modified xsi:type="dcterms:W3CDTF">2026-08-05T03:27:23Z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eyJoZGlkIjoiNDE1ZTFlMjFjZDEzODY3NmE0ZDIwNjM3NWU4ZDkyNWQiLCJ1c2VySWQiOiIzMzA3NDM0MzYifQ==</vt:lpwstr>
  </property>
  <property fmtid="{D5CDD505-2E9C-101B-9397-08002B2CF9AE}" pid="4" name="ICV">
    <vt:lpwstr>D645DF6FA1E040E59BF740E68679B1AB_13</vt:lpwstr>
  </property>
</Properties>
</file>