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290AD">
      <w:pPr>
        <w:pStyle w:val="8"/>
        <w:jc w:val="center"/>
        <w:rPr>
          <w:highlight w:val="none"/>
        </w:rPr>
      </w:pPr>
      <w:r>
        <w:rPr>
          <w:highlight w:val="none"/>
        </w:rPr>
        <w:t>成都市新津区中医医院智慧消防系统改造采购项目询预算价公示</w:t>
      </w:r>
    </w:p>
    <w:p w14:paraId="268507ED">
      <w:pPr>
        <w:rPr>
          <w:highlight w:val="none"/>
        </w:rPr>
      </w:pPr>
    </w:p>
    <w:p w14:paraId="588DE916">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各潜在供应商：</w:t>
      </w:r>
    </w:p>
    <w:p w14:paraId="5733D099">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根据医院业务需要，我院拟采购智慧消防系统改造项目。现将具体采购需求公告如下，各潜在供应商如有意向参与，请主动与我院联系，并在公示期内提供以下资料，以便初步甄选。</w:t>
      </w:r>
    </w:p>
    <w:p w14:paraId="79D67517">
      <w:pPr>
        <w:spacing w:line="560" w:lineRule="exact"/>
        <w:ind w:firstLine="560" w:firstLineChars="200"/>
        <w:rPr>
          <w:rFonts w:hint="eastAsia" w:ascii="黑体" w:hAnsi="黑体" w:eastAsia="黑体" w:cs="黑体"/>
          <w:sz w:val="32"/>
          <w:szCs w:val="32"/>
          <w:highlight w:val="none"/>
        </w:rPr>
      </w:pPr>
      <w:r>
        <w:rPr>
          <w:rFonts w:hint="eastAsia" w:ascii="黑体" w:hAnsi="黑体" w:eastAsia="黑体" w:cs="黑体"/>
          <w:sz w:val="28"/>
          <w:szCs w:val="28"/>
          <w:highlight w:val="none"/>
        </w:rPr>
        <w:t>★</w:t>
      </w:r>
      <w:r>
        <w:rPr>
          <w:rFonts w:hint="eastAsia" w:ascii="黑体" w:hAnsi="黑体" w:eastAsia="黑体" w:cs="黑体"/>
          <w:sz w:val="32"/>
          <w:szCs w:val="32"/>
          <w:highlight w:val="none"/>
        </w:rPr>
        <w:t>一、公司情况介绍</w:t>
      </w:r>
    </w:p>
    <w:p w14:paraId="3356E8B2">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1、公司相关业务情况、业绩简介。</w:t>
      </w:r>
    </w:p>
    <w:p w14:paraId="2829B986">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2、公司营业执照复印件；公司法人身份证复印件或授权委托书及授权委托人身份证复印件。</w:t>
      </w:r>
    </w:p>
    <w:p w14:paraId="63BF20BF">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3、供应商须具备消防设施工程专业承包二级及以上资质（提供复印件并加盖公章）</w:t>
      </w:r>
    </w:p>
    <w:p w14:paraId="36581BC6">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二、报名要求</w:t>
      </w:r>
    </w:p>
    <w:p w14:paraId="6D2E5358">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1、资料必须密封，现场递交成都市新津区中医医院采购办（医院行政办公区二楼）。</w:t>
      </w:r>
    </w:p>
    <w:p w14:paraId="25403DB3">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2、报价资料需按照医院要求格式报价。（附件2）</w:t>
      </w:r>
    </w:p>
    <w:p w14:paraId="2C8BB0B4">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3、提供电子版报价资料和相关服务方案简介资料，可优化和细化功能参数，以便医院甄选使用（</w:t>
      </w:r>
      <w:r>
        <w:rPr>
          <w:rFonts w:hint="eastAsia" w:ascii="仿宋" w:hAnsi="仿宋" w:eastAsia="仿宋" w:cs="仿宋"/>
          <w:b/>
          <w:bCs/>
          <w:color w:val="FF0000"/>
          <w:sz w:val="28"/>
          <w:szCs w:val="28"/>
          <w:highlight w:val="none"/>
        </w:rPr>
        <w:t>本项目需电子报价</w:t>
      </w:r>
      <w:r>
        <w:rPr>
          <w:rFonts w:hint="eastAsia" w:ascii="仿宋" w:hAnsi="仿宋" w:eastAsia="仿宋" w:cs="仿宋"/>
          <w:b/>
          <w:bCs/>
          <w:color w:val="FF0000"/>
          <w:sz w:val="28"/>
          <w:szCs w:val="28"/>
          <w:highlight w:val="none"/>
          <w:lang w:eastAsia="zh-CN"/>
        </w:rPr>
        <w:t>，</w:t>
      </w:r>
      <w:r>
        <w:rPr>
          <w:rFonts w:hint="eastAsia" w:ascii="仿宋" w:hAnsi="仿宋" w:eastAsia="仿宋" w:cs="仿宋"/>
          <w:b/>
          <w:bCs/>
          <w:color w:val="FF0000"/>
          <w:sz w:val="28"/>
          <w:szCs w:val="28"/>
          <w:highlight w:val="none"/>
          <w:lang w:val="en-US" w:eastAsia="zh-CN"/>
        </w:rPr>
        <w:t>U盘单独密封</w:t>
      </w:r>
      <w:r>
        <w:rPr>
          <w:rFonts w:hint="eastAsia" w:ascii="仿宋" w:hAnsi="仿宋" w:eastAsia="仿宋" w:cs="仿宋"/>
          <w:sz w:val="28"/>
          <w:szCs w:val="28"/>
          <w:highlight w:val="none"/>
        </w:rPr>
        <w:t>）</w:t>
      </w:r>
    </w:p>
    <w:p w14:paraId="0606B778">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4、参与供应商应符合《政府采购法》第二十二条的相关资质要求，具备相关资质。并提供相关证明材料或承诺函。 </w:t>
      </w:r>
    </w:p>
    <w:p w14:paraId="4AB93469">
      <w:pPr>
        <w:spacing w:line="360" w:lineRule="auto"/>
        <w:ind w:firstLine="560" w:firstLineChars="200"/>
        <w:jc w:val="left"/>
        <w:rPr>
          <w:rFonts w:hint="eastAsia" w:ascii="仿宋" w:hAnsi="仿宋" w:eastAsia="仿宋" w:cs="仿宋"/>
          <w:sz w:val="28"/>
          <w:szCs w:val="28"/>
          <w:highlight w:val="none"/>
        </w:rPr>
      </w:pPr>
    </w:p>
    <w:p w14:paraId="3E1C745D">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5、拟参与本项目的供应商如需了解项目情况，自行对接该项目负责人了解相关信息。</w:t>
      </w:r>
    </w:p>
    <w:p w14:paraId="64A8F3EB">
      <w:pPr>
        <w:spacing w:line="360" w:lineRule="auto"/>
        <w:ind w:firstLine="560" w:firstLineChars="200"/>
        <w:jc w:val="left"/>
        <w:rPr>
          <w:highlight w:val="none"/>
        </w:rPr>
      </w:pPr>
      <w:r>
        <w:rPr>
          <w:rFonts w:hint="eastAsia" w:ascii="仿宋" w:hAnsi="仿宋" w:eastAsia="仿宋" w:cs="仿宋"/>
          <w:sz w:val="28"/>
          <w:szCs w:val="28"/>
          <w:highlight w:val="none"/>
        </w:rPr>
        <w:t>6、所有递交资料及相关证明材料必须加盖供应商鲜章有效。</w:t>
      </w:r>
    </w:p>
    <w:p w14:paraId="40A259EF">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三、本次公开询价结果只作为本项目采购预算价，不作为成交价。</w:t>
      </w:r>
    </w:p>
    <w:p w14:paraId="2F60FE51">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四、其他事项</w:t>
      </w:r>
    </w:p>
    <w:p w14:paraId="370930C2">
      <w:pPr>
        <w:spacing w:line="360" w:lineRule="auto"/>
        <w:ind w:firstLine="560" w:firstLineChars="200"/>
        <w:jc w:val="left"/>
        <w:rPr>
          <w:rFonts w:hint="eastAsia" w:ascii="仿宋" w:hAnsi="仿宋" w:eastAsia="仿宋" w:cs="仿宋"/>
          <w:sz w:val="28"/>
          <w:szCs w:val="28"/>
          <w:highlight w:val="none"/>
        </w:rPr>
      </w:pPr>
      <w:bookmarkStart w:id="0" w:name="_Toc20249"/>
      <w:bookmarkStart w:id="1" w:name="_Toc20665"/>
      <w:r>
        <w:rPr>
          <w:rFonts w:hint="eastAsia" w:ascii="仿宋" w:hAnsi="仿宋" w:eastAsia="仿宋" w:cs="仿宋"/>
          <w:sz w:val="28"/>
          <w:szCs w:val="28"/>
          <w:highlight w:val="none"/>
        </w:rPr>
        <w:t>1、报名资料接收时间：（2026年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日-2026年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日；文件接收截止日期：2026年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日16：00）递交资料人员须为法人或授权委托人并提供证明文件查看。报名登记表见附件3。</w:t>
      </w:r>
    </w:p>
    <w:p w14:paraId="76A05951">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2、公示人：成都市新津区中医医院 地址：成都市新津区西创大道1389号。</w:t>
      </w:r>
    </w:p>
    <w:p w14:paraId="008F6646">
      <w:pPr>
        <w:spacing w:line="360" w:lineRule="auto"/>
        <w:ind w:firstLine="560" w:firstLineChars="200"/>
        <w:jc w:val="left"/>
        <w:rPr>
          <w:rFonts w:hint="eastAsia" w:hAnsi="宋体" w:cs="仿宋_GB2312"/>
          <w:sz w:val="28"/>
          <w:szCs w:val="28"/>
          <w:highlight w:val="none"/>
        </w:rPr>
      </w:pPr>
      <w:r>
        <w:rPr>
          <w:rFonts w:hint="eastAsia" w:ascii="仿宋" w:hAnsi="仿宋" w:eastAsia="仿宋" w:cs="仿宋"/>
          <w:sz w:val="28"/>
          <w:szCs w:val="28"/>
          <w:highlight w:val="none"/>
        </w:rPr>
        <w:t>3、报名联系人：潘老师、周老师028-82526150 ；项目咨询联系人：姚老师，18080955508。</w:t>
      </w:r>
    </w:p>
    <w:p w14:paraId="185349FF">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4、报名供应商可通过邮箱845865477@qq.com报名。报名需提交报名登记表及登记表要求的相关资质资料（盖公章）。</w:t>
      </w:r>
    </w:p>
    <w:p w14:paraId="4E4A88D0">
      <w:pPr>
        <w:spacing w:line="560" w:lineRule="exact"/>
        <w:rPr>
          <w:rFonts w:hint="eastAsia" w:ascii="仿宋" w:hAnsi="仿宋" w:eastAsia="仿宋" w:cs="仿宋"/>
          <w:b/>
          <w:bCs/>
          <w:sz w:val="32"/>
          <w:szCs w:val="32"/>
          <w:highlight w:val="none"/>
        </w:rPr>
      </w:pPr>
    </w:p>
    <w:p w14:paraId="1C6F7C5A">
      <w:pPr>
        <w:spacing w:line="560" w:lineRule="exact"/>
        <w:rPr>
          <w:rFonts w:hint="eastAsia" w:ascii="仿宋" w:hAnsi="仿宋" w:eastAsia="仿宋" w:cs="仿宋"/>
          <w:b/>
          <w:bCs/>
          <w:sz w:val="32"/>
          <w:szCs w:val="32"/>
          <w:highlight w:val="none"/>
        </w:rPr>
      </w:pPr>
    </w:p>
    <w:p w14:paraId="7C025053">
      <w:pPr>
        <w:pStyle w:val="8"/>
        <w:rPr>
          <w:rFonts w:hint="eastAsia" w:ascii="仿宋" w:hAnsi="仿宋" w:eastAsia="仿宋" w:cs="仿宋"/>
          <w:b/>
          <w:bCs/>
          <w:sz w:val="32"/>
          <w:szCs w:val="32"/>
          <w:highlight w:val="none"/>
        </w:rPr>
      </w:pPr>
    </w:p>
    <w:p w14:paraId="7FD072DD">
      <w:pPr>
        <w:rPr>
          <w:rFonts w:hint="eastAsia" w:ascii="仿宋" w:hAnsi="仿宋" w:eastAsia="仿宋" w:cs="仿宋"/>
          <w:b/>
          <w:bCs/>
          <w:sz w:val="32"/>
          <w:szCs w:val="32"/>
          <w:highlight w:val="none"/>
        </w:rPr>
      </w:pPr>
    </w:p>
    <w:p w14:paraId="7AD38C15">
      <w:pPr>
        <w:pStyle w:val="8"/>
        <w:rPr>
          <w:rFonts w:hint="eastAsia" w:ascii="仿宋" w:hAnsi="仿宋" w:eastAsia="仿宋" w:cs="仿宋"/>
          <w:b/>
          <w:bCs/>
          <w:sz w:val="32"/>
          <w:szCs w:val="32"/>
          <w:highlight w:val="none"/>
        </w:rPr>
      </w:pPr>
    </w:p>
    <w:bookmarkEnd w:id="0"/>
    <w:bookmarkEnd w:id="1"/>
    <w:p w14:paraId="20B1EEF4">
      <w:pPr>
        <w:spacing w:line="500" w:lineRule="exact"/>
        <w:rPr>
          <w:rFonts w:hint="eastAsia" w:ascii="黑体" w:hAnsi="黑体" w:eastAsia="黑体" w:cs="黑体"/>
          <w:sz w:val="28"/>
          <w:szCs w:val="28"/>
          <w:highlight w:val="none"/>
        </w:rPr>
      </w:pPr>
    </w:p>
    <w:p w14:paraId="2FABEC3C">
      <w:pPr>
        <w:spacing w:line="500" w:lineRule="exact"/>
        <w:rPr>
          <w:rFonts w:hint="eastAsia" w:ascii="黑体" w:hAnsi="黑体" w:eastAsia="黑体" w:cs="黑体"/>
          <w:sz w:val="28"/>
          <w:szCs w:val="28"/>
          <w:highlight w:val="none"/>
        </w:rPr>
      </w:pPr>
    </w:p>
    <w:p w14:paraId="6528BAB7">
      <w:pPr>
        <w:spacing w:line="50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w:t>
      </w:r>
      <w:r>
        <w:rPr>
          <w:rFonts w:hint="eastAsia" w:ascii="仿宋" w:hAnsi="仿宋" w:eastAsia="仿宋" w:cs="仿宋"/>
          <w:b/>
          <w:bCs/>
          <w:sz w:val="28"/>
          <w:szCs w:val="28"/>
          <w:highlight w:val="none"/>
        </w:rPr>
        <w:t>一</w:t>
      </w:r>
      <w:r>
        <w:rPr>
          <w:rFonts w:hint="eastAsia" w:ascii="黑体" w:hAnsi="黑体" w:eastAsia="黑体" w:cs="黑体"/>
          <w:sz w:val="36"/>
          <w:szCs w:val="36"/>
          <w:highlight w:val="none"/>
        </w:rPr>
        <w:t>、</w:t>
      </w:r>
      <w:r>
        <w:rPr>
          <w:rFonts w:hint="eastAsia" w:ascii="黑体" w:hAnsi="黑体" w:eastAsia="黑体" w:cs="黑体"/>
          <w:sz w:val="28"/>
          <w:szCs w:val="28"/>
          <w:highlight w:val="none"/>
        </w:rPr>
        <w:t>项目概况</w:t>
      </w:r>
    </w:p>
    <w:p w14:paraId="668FE189">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成都市新津区中医医院位于新津区西创大道1389号，建筑面积约4万平米，现有建筑门诊楼和住院楼共一栋，其中地下一层、地上12层。医院现有自动报警主机2台，连接院区内消防报警设备约5000余个，消防泵系统：2台，喷淋泵系统2台，联动设备100余个，CRT 图文显示装置、多线控制盘以及消防广播系统。此外，还设置有防排烟系统、防火门监控系统、电气火灾监控系统、消防电源监控系统、应急照明及应急疏散指示系统、泡沫灭火系统、高压细水雾系统、气体灭火系统等多种消防设施系统。</w:t>
      </w:r>
    </w:p>
    <w:p w14:paraId="38CC238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项目主要是采用物联网、人工智能等现代信息化技术对成都市新津区中医医院现有消防设施设备进行升级改造，建设满足医院消防安全管理需要的智慧安消一体化管理平台，实现对各类消防设施系统的运行状态进行实时在线可视化管理，同步建设消防远程值守系统，实现对各类消防设施的远程监控，以期降低火灾风险，降低消防值守成本，从而全面提升全院消防安全管理效能。</w:t>
      </w:r>
    </w:p>
    <w:p w14:paraId="0A7CCFD0">
      <w:pPr>
        <w:rPr>
          <w:rFonts w:hint="eastAsia" w:ascii="黑体" w:hAnsi="黑体" w:eastAsia="黑体" w:cs="黑体"/>
          <w:sz w:val="32"/>
          <w:szCs w:val="32"/>
          <w:highlight w:val="none"/>
        </w:rPr>
      </w:pPr>
      <w:r>
        <w:rPr>
          <w:rFonts w:hint="eastAsia" w:ascii="黑体" w:hAnsi="黑体" w:eastAsia="黑体" w:cs="黑体"/>
          <w:sz w:val="32"/>
          <w:szCs w:val="32"/>
          <w:highlight w:val="none"/>
        </w:rPr>
        <w:t>二、采购需求</w:t>
      </w:r>
    </w:p>
    <w:p w14:paraId="713D0E24">
      <w:pPr>
        <w:rPr>
          <w:rFonts w:hint="eastAsia" w:ascii="楷体_GB2312" w:hAnsi="楷体_GB2312" w:eastAsia="楷体_GB2312" w:cs="楷体_GB2312"/>
          <w:b/>
          <w:bCs/>
          <w:sz w:val="30"/>
          <w:szCs w:val="30"/>
          <w:highlight w:val="none"/>
        </w:rPr>
      </w:pPr>
      <w:r>
        <w:rPr>
          <w:rFonts w:hint="eastAsia" w:ascii="楷体_GB2312" w:hAnsi="楷体_GB2312" w:eastAsia="楷体_GB2312" w:cs="楷体_GB2312"/>
          <w:b/>
          <w:bCs/>
          <w:sz w:val="30"/>
          <w:szCs w:val="30"/>
          <w:highlight w:val="none"/>
        </w:rPr>
        <w:t>（一）</w:t>
      </w:r>
      <w:r>
        <w:rPr>
          <w:rFonts w:hint="eastAsia" w:ascii="仿宋" w:hAnsi="仿宋" w:eastAsia="仿宋" w:cs="仿宋"/>
          <w:b/>
          <w:bCs/>
          <w:sz w:val="30"/>
          <w:szCs w:val="30"/>
          <w:highlight w:val="none"/>
        </w:rPr>
        <w:t>远程运维值守系统</w:t>
      </w:r>
    </w:p>
    <w:p w14:paraId="4E54620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通过本项目的升级改造，将院区消防设施系统接入第三方远程运维值守中心，满足《四川省消防条例》第三十八条：“与消防远程监控系统联网的，每班不少于一人”的要求，从而将现在消防值班室值班人员由原来的“双人双岗，24小时值班”变成“单人单岗+远程值守、24小时值班”，不仅能降低消防安全管理的运营成本，还能全面实现消防运维值守的智能化、规范化、高效化，提升消防安全防控效能。</w:t>
      </w:r>
    </w:p>
    <w:p w14:paraId="16419690">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1.1 支持远程报警处置。系统需具备快速接收火灾报警、故障报警等各类消防预警信息的能力，报警信息接收响应时间不超过20秒；通过“安消联动”支持远程复核报警信息真实性，调用现场视频监控、传感器数据等进行交叉验证，区分真实火情与误报情况，避免无效处置；明确报警处置流程，具备程下达处置指令，跟踪处置全过程，形成处置记录的功能，确保报警信息闭环管理；同时还可向消防救援机构开放数据接口，接受监管。</w:t>
      </w:r>
    </w:p>
    <w:p w14:paraId="6D39DAF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1.2 支持远程监控值班人员值守状态。通过视频监控、AI分析等技术，实时监测值班人员在岗情况，精准识别睡岗、脱岗、离岗超时（建议脱岗/睡岗超5分钟自动报警）等违规行为，一旦发现异常立即通过WEB及APP推送、语音电话及短信提醒、微信小程序推送等多种方式，向管理人员及相关负责人发送预警信息，督促及时整改，保障值守工作落实到位，确保值守人员履职尽责。</w:t>
      </w:r>
    </w:p>
    <w:p w14:paraId="5F932374">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1.3 支持值守数据统计与台账管理。自动记录值守人员到岗离岗时间、值守状态、报警处置情况、设备运行数据、故障处置记录等信息，形成完善的值守台账和数据报表，支持数据查询、导出、打印，便于日常监督检查、工作总结及溯源核查；同时留存相关数据不少于1年，满足消防安全管理及监管部门检查要求。</w:t>
      </w:r>
    </w:p>
    <w:p w14:paraId="2AC4099C">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1.4满足人员资质与技术要求。远程运维值守中心值班人员需具备四级（中级）及以上消防设施操作员职业资格，实行24小时值班制度；系统需配备≥100M独享带宽，优先采用有线传输方式，确保数据传输稳定、实时，避免因网络问题影响值守效能；远程控制指令与现场操作冲突时，遵循现场操作优先原则，保障操作安全性。</w:t>
      </w:r>
    </w:p>
    <w:p w14:paraId="3DB171CD">
      <w:pP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（二）智慧消安一体化系统</w:t>
      </w:r>
    </w:p>
    <w:p w14:paraId="5B678DED">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1.支持提供WEB、APP及微信小程序等多种客户端。</w:t>
      </w:r>
      <w:r>
        <w:rPr>
          <w:rStyle w:val="33"/>
          <w:rFonts w:hint="eastAsia" w:ascii="仿宋" w:hAnsi="仿宋" w:eastAsia="仿宋" w:cs="仿宋"/>
          <w:sz w:val="28"/>
          <w:szCs w:val="28"/>
          <w:highlight w:val="none"/>
        </w:rPr>
        <w:t>为不同级别的用户，包括：</w:t>
      </w:r>
      <w:r>
        <w:rPr>
          <w:rStyle w:val="33"/>
          <w:rFonts w:hint="eastAsia" w:ascii="仿宋" w:hAnsi="仿宋" w:eastAsia="仿宋" w:cs="仿宋"/>
          <w:sz w:val="28"/>
          <w:szCs w:val="28"/>
          <w:highlight w:val="none"/>
          <w:lang w:val="en-US" w:eastAsia="zh-CN"/>
        </w:rPr>
        <w:t>单位</w:t>
      </w:r>
      <w:r>
        <w:rPr>
          <w:rStyle w:val="33"/>
          <w:rFonts w:hint="eastAsia" w:ascii="仿宋" w:hAnsi="仿宋" w:eastAsia="仿宋" w:cs="仿宋"/>
          <w:sz w:val="28"/>
          <w:szCs w:val="28"/>
          <w:highlight w:val="none"/>
        </w:rPr>
        <w:t>主管领导、相关管理部门、维保公司、</w:t>
      </w:r>
      <w:r>
        <w:rPr>
          <w:rStyle w:val="33"/>
          <w:rFonts w:hint="eastAsia" w:ascii="仿宋" w:hAnsi="仿宋" w:eastAsia="仿宋" w:cs="仿宋"/>
          <w:sz w:val="28"/>
          <w:szCs w:val="28"/>
          <w:highlight w:val="none"/>
          <w:lang w:eastAsia="zh-CN"/>
        </w:rPr>
        <w:t>管理员、值班员</w:t>
      </w:r>
      <w:r>
        <w:rPr>
          <w:rStyle w:val="33"/>
          <w:rFonts w:hint="eastAsia" w:ascii="仿宋" w:hAnsi="仿宋" w:eastAsia="仿宋" w:cs="仿宋"/>
          <w:sz w:val="28"/>
          <w:szCs w:val="28"/>
          <w:highlight w:val="none"/>
        </w:rPr>
        <w:t>等各类人员提供不同权限的</w:t>
      </w:r>
      <w:r>
        <w:rPr>
          <w:rFonts w:hint="eastAsia" w:ascii="仿宋" w:hAnsi="仿宋" w:eastAsia="仿宋" w:cs="仿宋"/>
          <w:sz w:val="28"/>
          <w:szCs w:val="28"/>
          <w:highlight w:val="none"/>
        </w:rPr>
        <w:t>WEB、APP及微信小程序等多种客户端</w:t>
      </w:r>
      <w:r>
        <w:rPr>
          <w:rStyle w:val="33"/>
          <w:rFonts w:hint="eastAsia" w:ascii="仿宋" w:hAnsi="仿宋" w:eastAsia="仿宋" w:cs="仿宋"/>
          <w:sz w:val="28"/>
          <w:szCs w:val="28"/>
          <w:highlight w:val="none"/>
        </w:rPr>
        <w:t>数据信息服务。</w:t>
      </w:r>
      <w:r>
        <w:rPr>
          <w:rStyle w:val="33"/>
          <w:rFonts w:hint="eastAsia" w:ascii="仿宋" w:hAnsi="仿宋" w:eastAsia="仿宋" w:cs="仿宋"/>
          <w:sz w:val="28"/>
          <w:szCs w:val="28"/>
          <w:highlight w:val="none"/>
          <w:lang w:val="en-US" w:eastAsia="zh-CN"/>
        </w:rPr>
        <w:t>支持独立式烟感探测器、独立手动报警按钮和声光报警器并入。</w:t>
      </w:r>
    </w:p>
    <w:p w14:paraId="2EBCAFBD">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支持消防水系统状态监测。实现对消防水系统的消防水池及消防水箱的液位监测，室内消火栓及自动喷水灭火系统末端压力监测，一旦低于或高于系统设定阈值，系统能主动进行告警，告警方式满足第一条要求。</w:t>
      </w:r>
    </w:p>
    <w:p w14:paraId="17AEBC0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支持系统实现“安消联动”功能，系统应能采集既有视频监控系统的视频，并于消防设施系统点位进行联动，一旦消防系统告警，系统应能调取附近视频监控系统的摄像机实时视频进行远程辅助确警，从而提升管理效率。</w:t>
      </w:r>
    </w:p>
    <w:p w14:paraId="2571291F">
      <w:pPr>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4.在全院约20个重点场所增加热成像检测仪实时检测区域温度，并接入智慧安消一体化系统，一旦探测到异常状态，系统将通过第一条描述的方式进行告警，并能调取对应告警设备的实时监控视频进行远程确警。</w:t>
      </w:r>
    </w:p>
    <w:p w14:paraId="503A01A2">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5.在全院未安装烟雾报警器的场所增加联网型独立式感烟火灾探测器，并接入智慧安消一体化系统，一旦探测到异常状态，系统将</w:t>
      </w:r>
      <w:r>
        <w:rPr>
          <w:rFonts w:hint="eastAsia" w:ascii="仿宋" w:hAnsi="仿宋" w:eastAsia="仿宋" w:cs="仿宋"/>
          <w:sz w:val="28"/>
          <w:szCs w:val="28"/>
          <w:highlight w:val="none"/>
          <w:lang w:val="en-US" w:eastAsia="zh-CN"/>
        </w:rPr>
        <w:t>及时发出</w:t>
      </w:r>
      <w:r>
        <w:rPr>
          <w:rFonts w:hint="eastAsia" w:ascii="仿宋" w:hAnsi="仿宋" w:eastAsia="仿宋" w:cs="仿宋"/>
          <w:sz w:val="28"/>
          <w:szCs w:val="28"/>
          <w:highlight w:val="none"/>
        </w:rPr>
        <w:t>告警。</w:t>
      </w:r>
    </w:p>
    <w:p w14:paraId="01436168">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6.支持消防维保管过程管理，实现消防设施设备月检信息录入，建立管理台账，通过扫描二维码动态管理各个场所的消火栓、灭火器等的全寿命周期管理，临期及时提醒检测或更换。</w:t>
      </w:r>
    </w:p>
    <w:p w14:paraId="10FC8FC7">
      <w:pPr>
        <w:rPr>
          <w:rFonts w:hint="eastAsia" w:ascii="黑体" w:hAnsi="黑体" w:eastAsia="黑体" w:cs="黑体"/>
          <w:sz w:val="32"/>
          <w:szCs w:val="32"/>
          <w:highlight w:val="none"/>
        </w:rPr>
      </w:pPr>
      <w:r>
        <w:rPr>
          <w:rFonts w:hint="eastAsia" w:ascii="黑体" w:hAnsi="黑体" w:eastAsia="黑体" w:cs="黑体"/>
          <w:sz w:val="32"/>
          <w:szCs w:val="32"/>
          <w:highlight w:val="none"/>
        </w:rPr>
        <w:t>三、功能及参数需求</w:t>
      </w:r>
    </w:p>
    <w:tbl>
      <w:tblPr>
        <w:tblStyle w:val="20"/>
        <w:tblW w:w="953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5"/>
        <w:gridCol w:w="1421"/>
        <w:gridCol w:w="4976"/>
        <w:gridCol w:w="919"/>
        <w:gridCol w:w="1511"/>
      </w:tblGrid>
      <w:tr w14:paraId="20F21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0" w:hRule="atLeast"/>
          <w:tblHeader/>
          <w:jc w:val="center"/>
        </w:trPr>
        <w:tc>
          <w:tcPr>
            <w:tcW w:w="705" w:type="dxa"/>
            <w:vAlign w:val="center"/>
          </w:tcPr>
          <w:p w14:paraId="4424733A">
            <w:pPr>
              <w:pStyle w:val="28"/>
              <w:snapToGrid w:val="0"/>
              <w:jc w:val="center"/>
              <w:rPr>
                <w:rFonts w:ascii="仿宋" w:hAnsi="仿宋" w:eastAsia="仿宋" w:cs="仿宋"/>
                <w:b/>
                <w:sz w:val="28"/>
                <w:szCs w:val="28"/>
                <w:highlight w:val="none"/>
              </w:rPr>
            </w:pPr>
            <w:r>
              <w:rPr>
                <w:rFonts w:ascii="仿宋" w:hAnsi="仿宋" w:eastAsia="仿宋" w:cs="仿宋"/>
                <w:b/>
                <w:sz w:val="28"/>
                <w:szCs w:val="28"/>
                <w:highlight w:val="none"/>
              </w:rPr>
              <w:t>序号</w:t>
            </w:r>
          </w:p>
        </w:tc>
        <w:tc>
          <w:tcPr>
            <w:tcW w:w="1421" w:type="dxa"/>
            <w:vAlign w:val="center"/>
          </w:tcPr>
          <w:p w14:paraId="4565444F">
            <w:pPr>
              <w:pStyle w:val="28"/>
              <w:snapToGrid w:val="0"/>
              <w:jc w:val="center"/>
              <w:rPr>
                <w:rFonts w:ascii="仿宋" w:hAnsi="仿宋" w:eastAsia="仿宋" w:cs="仿宋"/>
                <w:b/>
                <w:sz w:val="28"/>
                <w:szCs w:val="28"/>
                <w:highlight w:val="none"/>
              </w:rPr>
            </w:pPr>
            <w:r>
              <w:rPr>
                <w:rFonts w:ascii="仿宋" w:hAnsi="仿宋" w:eastAsia="仿宋" w:cs="仿宋"/>
                <w:b/>
                <w:sz w:val="28"/>
                <w:szCs w:val="28"/>
                <w:highlight w:val="none"/>
              </w:rPr>
              <w:t>技术要求名称</w:t>
            </w:r>
          </w:p>
        </w:tc>
        <w:tc>
          <w:tcPr>
            <w:tcW w:w="4976" w:type="dxa"/>
            <w:vAlign w:val="center"/>
          </w:tcPr>
          <w:p w14:paraId="58FA70C0">
            <w:pPr>
              <w:pStyle w:val="28"/>
              <w:snapToGrid w:val="0"/>
              <w:jc w:val="center"/>
              <w:rPr>
                <w:rFonts w:ascii="仿宋" w:hAnsi="仿宋" w:eastAsia="仿宋" w:cs="仿宋"/>
                <w:b/>
                <w:sz w:val="28"/>
                <w:szCs w:val="28"/>
                <w:highlight w:val="none"/>
              </w:rPr>
            </w:pPr>
            <w:r>
              <w:rPr>
                <w:rFonts w:ascii="仿宋" w:hAnsi="仿宋" w:eastAsia="仿宋" w:cs="仿宋"/>
                <w:b/>
                <w:sz w:val="28"/>
                <w:szCs w:val="28"/>
                <w:highlight w:val="none"/>
              </w:rPr>
              <w:t>技术参数与性能指标</w:t>
            </w:r>
          </w:p>
        </w:tc>
        <w:tc>
          <w:tcPr>
            <w:tcW w:w="919" w:type="dxa"/>
            <w:vAlign w:val="center"/>
          </w:tcPr>
          <w:p w14:paraId="1AC45EBA">
            <w:pPr>
              <w:pStyle w:val="28"/>
              <w:snapToGrid w:val="0"/>
              <w:jc w:val="center"/>
              <w:rPr>
                <w:rFonts w:ascii="仿宋" w:hAnsi="仿宋" w:eastAsia="仿宋" w:cs="仿宋"/>
                <w:b/>
                <w:sz w:val="28"/>
                <w:szCs w:val="28"/>
                <w:highlight w:val="none"/>
                <w:lang w:eastAsia="zh-CN"/>
              </w:rPr>
            </w:pPr>
            <w:r>
              <w:rPr>
                <w:rFonts w:ascii="仿宋" w:hAnsi="仿宋" w:eastAsia="仿宋" w:cs="仿宋"/>
                <w:b/>
                <w:sz w:val="28"/>
                <w:szCs w:val="28"/>
                <w:highlight w:val="none"/>
                <w:lang w:eastAsia="zh-CN"/>
              </w:rPr>
              <w:t>单位</w:t>
            </w:r>
          </w:p>
        </w:tc>
        <w:tc>
          <w:tcPr>
            <w:tcW w:w="1511" w:type="dxa"/>
            <w:vAlign w:val="center"/>
          </w:tcPr>
          <w:p w14:paraId="7A72CB66">
            <w:pPr>
              <w:pStyle w:val="28"/>
              <w:snapToGrid w:val="0"/>
              <w:jc w:val="center"/>
              <w:rPr>
                <w:rFonts w:ascii="仿宋" w:hAnsi="仿宋" w:eastAsia="仿宋" w:cs="仿宋"/>
                <w:b/>
                <w:sz w:val="28"/>
                <w:szCs w:val="28"/>
                <w:highlight w:val="none"/>
                <w:lang w:eastAsia="zh-CN"/>
              </w:rPr>
            </w:pPr>
            <w:r>
              <w:rPr>
                <w:rFonts w:ascii="仿宋" w:hAnsi="仿宋" w:eastAsia="仿宋" w:cs="仿宋"/>
                <w:b/>
                <w:sz w:val="28"/>
                <w:szCs w:val="28"/>
                <w:highlight w:val="none"/>
                <w:lang w:eastAsia="zh-CN"/>
              </w:rPr>
              <w:t>数量</w:t>
            </w:r>
          </w:p>
        </w:tc>
      </w:tr>
      <w:tr w14:paraId="7DEBD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01DD0A96">
            <w:pPr>
              <w:pStyle w:val="28"/>
              <w:snapToGrid w:val="0"/>
              <w:jc w:val="center"/>
              <w:rPr>
                <w:rFonts w:ascii="仿宋" w:hAnsi="仿宋" w:eastAsia="仿宋" w:cs="仿宋"/>
                <w:sz w:val="28"/>
                <w:szCs w:val="28"/>
                <w:highlight w:val="none"/>
              </w:rPr>
            </w:pPr>
            <w:r>
              <w:rPr>
                <w:rFonts w:ascii="仿宋" w:hAnsi="仿宋" w:eastAsia="仿宋" w:cs="仿宋"/>
                <w:sz w:val="28"/>
                <w:szCs w:val="28"/>
                <w:highlight w:val="none"/>
              </w:rPr>
              <w:t>1</w:t>
            </w:r>
          </w:p>
        </w:tc>
        <w:tc>
          <w:tcPr>
            <w:tcW w:w="1421" w:type="dxa"/>
            <w:vAlign w:val="center"/>
          </w:tcPr>
          <w:p w14:paraId="17EBDA63">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火灾自动报警主机数据采集传输单元</w:t>
            </w:r>
          </w:p>
        </w:tc>
        <w:tc>
          <w:tcPr>
            <w:tcW w:w="4976" w:type="dxa"/>
            <w:vAlign w:val="center"/>
          </w:tcPr>
          <w:p w14:paraId="4E25BCC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▲1.具有至少3路RS232通讯接口，能够接入通讯接口为RS232类型的报警设备；</w:t>
            </w:r>
          </w:p>
          <w:p w14:paraId="18C8846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▲2.具有至少3路RS485通讯接口，能够接入通讯接口为RS485类型的报警设备，支持通过RS485接口接入协议解析器，远距离采集消防主机的信息并通过传输装置上传，以适应消防主机处无有线/4G 信号情形；</w:t>
            </w:r>
          </w:p>
          <w:p w14:paraId="5F8C0FEC">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▲3.支持4路开关量输入，支持接入总报开关信号，支持监测消防主机的开关机状态；</w:t>
            </w:r>
          </w:p>
          <w:p w14:paraId="1B4BCCE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▲4.支持对外供电，供电电压DC15V；</w:t>
            </w:r>
          </w:p>
          <w:p w14:paraId="46001FD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▲5.具有一路Type-C接口，能够通过Tppe-C接口传输数据，更新程序；</w:t>
            </w:r>
          </w:p>
          <w:p w14:paraId="0DD2733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6.具有手动报警功能、查岗功能和自检功能；</w:t>
            </w:r>
          </w:p>
          <w:p w14:paraId="5D9AE556">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7.具有语音播报提示功能；</w:t>
            </w:r>
          </w:p>
          <w:p w14:paraId="1A5D04B6">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8.具有液晶显示功能，显示屏尺寸不小于2.8寸；</w:t>
            </w:r>
          </w:p>
          <w:p w14:paraId="7D8A863E">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9.运行状态指示：能够通过LED指示灯指示主备电运行状态，测试状态，消防主机和传输装置通讯状态，传输装置与监控中心通讯状态；</w:t>
            </w:r>
          </w:p>
          <w:p w14:paraId="464CE75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10.具有接收告警信号指示功能，能够通过LED指示灯指示接收到的消防主机的火警、启动、反馈、故障、监管、屏蔽、复位信息；</w:t>
            </w:r>
          </w:p>
          <w:p w14:paraId="0F53E75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 xml:space="preserve">11.同时支持有线网络联网和GPRS、4G（全网通）无线网络联网，当同时使用有线和无线双路网络时，默认有线网络优先，有线网络异常时自动切换至无线网络，有线网络恢复后会自动切换回至有线网络，以确保信号传输的稳定； </w:t>
            </w:r>
          </w:p>
          <w:p w14:paraId="20DE122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▲12.具有双通道传输功能，可同时向两个监控中心传数据而互不影响；</w:t>
            </w:r>
          </w:p>
          <w:p w14:paraId="026B2216">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▲13.同时支持GB26875.3协议，腾讯Iot协议；</w:t>
            </w:r>
          </w:p>
          <w:p w14:paraId="6307572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▲14.支持自动适配通信参数、自动适配主机协议，内置 100+品牌、1000+解析程序，可通过按键选择程序，能配置串行接口的波特率、校验位、停止位，能够设置是否监测传输装置于消防主机的通讯状态，消防主机号；</w:t>
            </w:r>
          </w:p>
          <w:p w14:paraId="2BA7064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15.支持查询历史信息记录等功能且查询记录不低于30000+记录容量存储；</w:t>
            </w:r>
          </w:p>
          <w:p w14:paraId="41A8A87C">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▲16.支持本地通过远程升级，远程配置，远程迁移等功能；</w:t>
            </w:r>
          </w:p>
          <w:p w14:paraId="7E547CF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17.产品尺寸：270*248*66（mm）</w:t>
            </w:r>
          </w:p>
          <w:p w14:paraId="0A4A89A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18.安装方式：壁挂式；</w:t>
            </w:r>
          </w:p>
          <w:p w14:paraId="688FFD52">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19.主电电压：AC220V,50Hz；</w:t>
            </w:r>
          </w:p>
          <w:p w14:paraId="76F6265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20.备用电源：DC12V/2.6Ah；</w:t>
            </w:r>
          </w:p>
          <w:p w14:paraId="5C2941CD">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21.工作环境：-20℃~ +60℃;相对湿度 95%RH(无凝结)</w:t>
            </w:r>
          </w:p>
          <w:p w14:paraId="35CE34D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▲22.用户信息传输装置应取得“计算机软件著作权登记证书。</w:t>
            </w:r>
          </w:p>
          <w:p w14:paraId="42CE982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★23.应取得国家消防电子产品质量检验检测中心出具的形式检验报告；</w:t>
            </w:r>
          </w:p>
          <w:p w14:paraId="0AB05E99">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★24.应符合消防类产品认证实施规则CCCF-CPRZ-15:2019的要求且取得应急管理部消防产品合格评定中心出具的消防产品认证证书。</w:t>
            </w:r>
          </w:p>
        </w:tc>
        <w:tc>
          <w:tcPr>
            <w:tcW w:w="919" w:type="dxa"/>
            <w:vAlign w:val="center"/>
          </w:tcPr>
          <w:p w14:paraId="2B29D72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7F306050">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w:t>
            </w:r>
          </w:p>
        </w:tc>
      </w:tr>
      <w:tr w14:paraId="107BB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54AF3DBA">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w:t>
            </w:r>
          </w:p>
        </w:tc>
        <w:tc>
          <w:tcPr>
            <w:tcW w:w="1421" w:type="dxa"/>
            <w:vAlign w:val="center"/>
          </w:tcPr>
          <w:p w14:paraId="61DFF9DC">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接口卡</w:t>
            </w:r>
          </w:p>
        </w:tc>
        <w:tc>
          <w:tcPr>
            <w:tcW w:w="4976" w:type="dxa"/>
            <w:vAlign w:val="center"/>
          </w:tcPr>
          <w:p w14:paraId="68815F56">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支持ModBus RTU 485接口，与火灾自动报警控制器配套。</w:t>
            </w:r>
          </w:p>
        </w:tc>
        <w:tc>
          <w:tcPr>
            <w:tcW w:w="919" w:type="dxa"/>
            <w:vAlign w:val="center"/>
          </w:tcPr>
          <w:p w14:paraId="46334E1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块</w:t>
            </w:r>
          </w:p>
        </w:tc>
        <w:tc>
          <w:tcPr>
            <w:tcW w:w="1511" w:type="dxa"/>
            <w:vAlign w:val="center"/>
          </w:tcPr>
          <w:p w14:paraId="3947BF1E">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r w14:paraId="395DF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5BF6327D">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w:t>
            </w:r>
          </w:p>
        </w:tc>
        <w:tc>
          <w:tcPr>
            <w:tcW w:w="1421" w:type="dxa"/>
            <w:vAlign w:val="center"/>
          </w:tcPr>
          <w:p w14:paraId="0EFBBB5B">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消防值班离岗监测单元</w:t>
            </w:r>
          </w:p>
        </w:tc>
        <w:tc>
          <w:tcPr>
            <w:tcW w:w="4976" w:type="dxa"/>
            <w:vAlign w:val="center"/>
          </w:tcPr>
          <w:p w14:paraId="6A4F52A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1、最大图像尺寸≥2560 × 1440</w:t>
            </w:r>
          </w:p>
          <w:p w14:paraId="002273D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，传感器类型：1/2.7" Progressive Scan CMOS；</w:t>
            </w:r>
          </w:p>
          <w:p w14:paraId="44C1AD4E">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2、镜头：2.8mm：水平：113.31 ；垂直：59.85；对角：136.26</w:t>
            </w:r>
          </w:p>
          <w:p w14:paraId="552272C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▲3、设备应具备温度突升、突降的差温报警功能，支持设定1℃ ～ 120℃ 温度突升或突降的差温报警阈值，1～ 30秒温度突升或者突降报警时间阈值， 当环境温度满足设定高温报警阈值和时间阈值时， 触发设备温度突升或突降差温报警， 视频画面叠加温度突升/突降报警信息， 同时录像及上传抓拍图片， 报警指示灯自动点亮（提供公安部检验报告复印件并加盖制造商公章证明）；</w:t>
            </w:r>
          </w:p>
          <w:p w14:paraId="25997A82">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▲4、内置不少于1个温度传感器、1个扬声器、 1个麦克风、1个红外接收器， 具有1个RJ45网络接口、1个SD卡卡槽、2颗补光灯、4个状态指示灯。 设备采用AC220V转DC12V或POE供电（提供公安部检验报告复印件并加盖制造商公章证明）</w:t>
            </w:r>
          </w:p>
          <w:p w14:paraId="0BFD94A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5、智能报警：离开岗位报警、呼救识别；异常侦测：硬盘满、硬件错误、网络断开、IP地址冲突、非法访问、外设故障；</w:t>
            </w:r>
          </w:p>
          <w:p w14:paraId="1A3BE8A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6、支持协议：TCP/IP, HTTP, HTTPS, DHCP, DNS, RTP, RTSP, RTCP, NTP, IPv4, UDP</w:t>
            </w:r>
          </w:p>
          <w:p w14:paraId="0759851F">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接口协议：ONVIF(PROFILE S, PROFILE G), ISAPI，EZVIZ，ISUP，GB28281，SDK</w:t>
            </w:r>
          </w:p>
          <w:p w14:paraId="1054B50E">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7、功耗：≤6.5W</w:t>
            </w:r>
          </w:p>
          <w:p w14:paraId="1CB295CE">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最远补光距离：红外补光30m/白光补光10m</w:t>
            </w:r>
          </w:p>
          <w:p w14:paraId="0A29D0C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8、感温方式：热敏电阻</w:t>
            </w:r>
          </w:p>
          <w:p w14:paraId="013A82E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9、使用环境：-30 ℃ ~ 60 ℃, 湿度小于95%(无凝结)</w:t>
            </w:r>
          </w:p>
          <w:p w14:paraId="3CBCF5B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10、防护等级：IP67</w:t>
            </w:r>
          </w:p>
          <w:p w14:paraId="382B5BD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▲11、在设备5m范围内， 以超过80dB大声呼喊“救命”、“着火”、“ 灭火” 、“ 火警”、“119”时，设备应能自动识别并触发呼救报警，视频画面叠加呼救报警信息， 同时录像及上传抓拍图片， 报警指示灯自动点亮（提供公安部检验报告复印件并加盖制造商公章证明）；</w:t>
            </w:r>
          </w:p>
          <w:p w14:paraId="726F8E7D">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12、设备支持通过平台后向消防大队平台推送相关数据；</w:t>
            </w:r>
          </w:p>
        </w:tc>
        <w:tc>
          <w:tcPr>
            <w:tcW w:w="919" w:type="dxa"/>
            <w:vAlign w:val="center"/>
          </w:tcPr>
          <w:p w14:paraId="3CBA388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4F16D108">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r w14:paraId="29A39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651D87BD">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4</w:t>
            </w:r>
          </w:p>
        </w:tc>
        <w:tc>
          <w:tcPr>
            <w:tcW w:w="1421" w:type="dxa"/>
            <w:vAlign w:val="center"/>
          </w:tcPr>
          <w:p w14:paraId="38ED4643">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热成像摄像机</w:t>
            </w:r>
          </w:p>
        </w:tc>
        <w:tc>
          <w:tcPr>
            <w:tcW w:w="4976" w:type="dxa"/>
            <w:vAlign w:val="center"/>
          </w:tcPr>
          <w:p w14:paraId="01AD41B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1、用业界领先的非制冷氧化钒焦平面探测器，灵敏度高</w:t>
            </w:r>
          </w:p>
          <w:p w14:paraId="6EBE1CD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2、支持火点探测报警，支持冷热点报警和工业测温报警功能</w:t>
            </w:r>
          </w:p>
          <w:p w14:paraId="0E65090D">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3、支持声光报警联动，支持双目融合</w:t>
            </w:r>
          </w:p>
          <w:p w14:paraId="5518F0E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4、可见光采用400万1/2.7英寸CMOS图像传感器，低照度效果好，图像清晰度高</w:t>
            </w:r>
          </w:p>
          <w:p w14:paraId="38DE4B5F">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支持IP白名单和黑名单、MAC白名单与黑名单、多级用户管理，人性化监控保密和权限管理</w:t>
            </w:r>
          </w:p>
          <w:p w14:paraId="42FE4E9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5、支持H.265编码，压缩比高，实现超低码流传输</w:t>
            </w:r>
          </w:p>
          <w:p w14:paraId="311A7B02">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6、支持1路报警输入1路报警输出功能，最大支持256GBMicroSD卡</w:t>
            </w:r>
          </w:p>
          <w:p w14:paraId="5FEDC86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7、内置MIC和高音量扬声器，高分贝报警声鸣70dB≥1m（A计权）</w:t>
            </w:r>
          </w:p>
          <w:p w14:paraId="402D041C">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8、支持火点侦测，最远20米</w:t>
            </w:r>
          </w:p>
          <w:p w14:paraId="1A037BF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9、支持DC12V/POE供电方式，方便工程安装</w:t>
            </w:r>
          </w:p>
          <w:p w14:paraId="12B78BC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10、支持IP67防护等级20、具备完备的安全组件</w:t>
            </w:r>
          </w:p>
        </w:tc>
        <w:tc>
          <w:tcPr>
            <w:tcW w:w="919" w:type="dxa"/>
            <w:vAlign w:val="center"/>
          </w:tcPr>
          <w:p w14:paraId="2678F02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08A128B7">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25</w:t>
            </w:r>
          </w:p>
        </w:tc>
      </w:tr>
      <w:tr w14:paraId="100D8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651FC3D0">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w:t>
            </w:r>
          </w:p>
        </w:tc>
        <w:tc>
          <w:tcPr>
            <w:tcW w:w="1421" w:type="dxa"/>
            <w:vAlign w:val="center"/>
          </w:tcPr>
          <w:p w14:paraId="0EA7DC7B">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硬盘录像机</w:t>
            </w:r>
          </w:p>
        </w:tc>
        <w:tc>
          <w:tcPr>
            <w:tcW w:w="4976" w:type="dxa"/>
            <w:vAlign w:val="center"/>
          </w:tcPr>
          <w:p w14:paraId="0265C89D">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1、支持嵌入式Linux系统，工业级嵌入式微控制器</w:t>
            </w:r>
          </w:p>
          <w:p w14:paraId="15CDE835">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2、支持WEB、本地GUI界面操作</w:t>
            </w:r>
          </w:p>
          <w:p w14:paraId="17520370">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3、支持Smart H.265/H.265/Smart H.264/H.264码流</w:t>
            </w:r>
          </w:p>
          <w:p w14:paraId="405AA36C">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4、支持VGA、HDMI异源输出，HDMI视频输出分辨率最高达4K</w:t>
            </w:r>
          </w:p>
          <w:p w14:paraId="703C47DD">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5、可接驳支持ONVIF、RTSP协议的第三方摄像机和主流品牌摄像机</w:t>
            </w:r>
          </w:p>
          <w:p w14:paraId="539DDD20">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6、支持IPv4、IPv6、HTTP、NTP、ONVIF网络协议</w:t>
            </w:r>
          </w:p>
          <w:p w14:paraId="6A38E792">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7、支持12M/8M/6M/5M/4M/3M/1080P/960P/720P IPC分辨率接入</w:t>
            </w:r>
          </w:p>
          <w:p w14:paraId="2418A8CD">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8、硬盘接口：4个SATA，单盘最大12T；</w:t>
            </w:r>
          </w:p>
          <w:p w14:paraId="6110955D">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9、网络接口：2个（10M/100M/1000M以太网口，RJ-45）</w:t>
            </w:r>
          </w:p>
          <w:p w14:paraId="58C20CF6">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10、接入路数：32路；</w:t>
            </w:r>
          </w:p>
        </w:tc>
        <w:tc>
          <w:tcPr>
            <w:tcW w:w="919" w:type="dxa"/>
            <w:vAlign w:val="center"/>
          </w:tcPr>
          <w:p w14:paraId="27780EA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43D651D1">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r w14:paraId="58ACE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72F60A24">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6</w:t>
            </w:r>
          </w:p>
        </w:tc>
        <w:tc>
          <w:tcPr>
            <w:tcW w:w="1421" w:type="dxa"/>
            <w:vAlign w:val="center"/>
          </w:tcPr>
          <w:p w14:paraId="63F00AE0">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硬盘</w:t>
            </w:r>
          </w:p>
        </w:tc>
        <w:tc>
          <w:tcPr>
            <w:tcW w:w="4976" w:type="dxa"/>
            <w:vAlign w:val="center"/>
          </w:tcPr>
          <w:p w14:paraId="0ADE20B3">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≥8T，视频存储时间不小于7天。</w:t>
            </w:r>
          </w:p>
        </w:tc>
        <w:tc>
          <w:tcPr>
            <w:tcW w:w="919" w:type="dxa"/>
            <w:vAlign w:val="center"/>
          </w:tcPr>
          <w:p w14:paraId="0699270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块</w:t>
            </w:r>
          </w:p>
        </w:tc>
        <w:tc>
          <w:tcPr>
            <w:tcW w:w="1511" w:type="dxa"/>
            <w:vAlign w:val="center"/>
          </w:tcPr>
          <w:p w14:paraId="3C7B13A1">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r w14:paraId="65F3AF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6E1B266F">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7</w:t>
            </w:r>
          </w:p>
        </w:tc>
        <w:tc>
          <w:tcPr>
            <w:tcW w:w="1421" w:type="dxa"/>
            <w:vAlign w:val="center"/>
          </w:tcPr>
          <w:p w14:paraId="229E5003">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交换机</w:t>
            </w:r>
          </w:p>
        </w:tc>
        <w:tc>
          <w:tcPr>
            <w:tcW w:w="4976" w:type="dxa"/>
            <w:vAlign w:val="center"/>
          </w:tcPr>
          <w:p w14:paraId="2E7034EB">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POE口≥3，百兆及以上；</w:t>
            </w:r>
          </w:p>
        </w:tc>
        <w:tc>
          <w:tcPr>
            <w:tcW w:w="919" w:type="dxa"/>
            <w:vAlign w:val="center"/>
          </w:tcPr>
          <w:p w14:paraId="21AAED32">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355A5821">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25</w:t>
            </w:r>
          </w:p>
        </w:tc>
      </w:tr>
      <w:tr w14:paraId="7B216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04138ED7">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8</w:t>
            </w:r>
          </w:p>
        </w:tc>
        <w:tc>
          <w:tcPr>
            <w:tcW w:w="1421" w:type="dxa"/>
            <w:vAlign w:val="center"/>
          </w:tcPr>
          <w:p w14:paraId="7D5B7032">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安防视频采集传输单元</w:t>
            </w:r>
          </w:p>
        </w:tc>
        <w:tc>
          <w:tcPr>
            <w:tcW w:w="4976" w:type="dxa"/>
            <w:vAlign w:val="center"/>
          </w:tcPr>
          <w:p w14:paraId="37EC20CE">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▲1.支持手动添加、删除第三方厂商的IPC、DVR、NVR等设备，并可批量操作。</w:t>
            </w:r>
          </w:p>
          <w:p w14:paraId="78B35560">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▲2.支持通过GB/T 28181、ONVIF、RTSP协议接入的设备。</w:t>
            </w:r>
          </w:p>
          <w:p w14:paraId="12DF3C37">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3.支持自动识别接入设备（IPC、DVR、NVR）的信息，及设备（DVR、NVR）下通道信息。</w:t>
            </w:r>
          </w:p>
          <w:p w14:paraId="1915B2AB">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4.支持跨网络（局域网至专网、局域网至互联网）在客户端进行实时预览、云台控制、录像回放等操作。</w:t>
            </w:r>
          </w:p>
          <w:p w14:paraId="707415CC">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5.支持将私有格式的视频流转换为标准PS流。</w:t>
            </w:r>
          </w:p>
          <w:p w14:paraId="30751E7C">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6.支持将高清视频流转换为低分辨率、低码率的视频流。</w:t>
            </w:r>
          </w:p>
          <w:p w14:paraId="181F39C4">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7.支持同时转发8路1920×1080、8Mbps的视频流。</w:t>
            </w:r>
          </w:p>
          <w:p w14:paraId="00F7C8F5">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▲8.支持接入、管理不少于1500路视频通道。</w:t>
            </w:r>
          </w:p>
          <w:p w14:paraId="3CE50DAF">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9.支持与智能视频云平台通过私有加密协议通信。</w:t>
            </w:r>
          </w:p>
          <w:p w14:paraId="3A4AD2A2">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10.硬件平台采用低功耗的高性能的 Intel 平台，系统采用 Windows/Linux 系统平台；</w:t>
            </w:r>
          </w:p>
          <w:p w14:paraId="637F70E8">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▲11.采用旁路架构，与原有系统可无缝结合，完全不影响原有正常业务运转，即插即用。</w:t>
            </w:r>
          </w:p>
          <w:p w14:paraId="2B1B6F3D">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▲12.与智慧消防管理系统为统一生产厂家，保证与智慧消防管理系统无缝接入；</w:t>
            </w:r>
          </w:p>
          <w:p w14:paraId="568753C5">
            <w:pPr>
              <w:pStyle w:val="28"/>
              <w:snapToGrid w:val="0"/>
              <w:rPr>
                <w:rFonts w:ascii="仿宋" w:hAnsi="仿宋" w:eastAsia="仿宋" w:cs="仿宋"/>
                <w:color w:val="auto"/>
                <w:sz w:val="28"/>
                <w:szCs w:val="28"/>
                <w:highlight w:val="none"/>
                <w:lang w:eastAsia="zh-CN"/>
              </w:rPr>
            </w:pPr>
            <w:r>
              <w:rPr>
                <w:rFonts w:ascii="仿宋" w:hAnsi="仿宋" w:eastAsia="仿宋" w:cs="仿宋"/>
                <w:color w:val="auto"/>
                <w:sz w:val="28"/>
                <w:szCs w:val="28"/>
                <w:highlight w:val="none"/>
                <w:lang w:eastAsia="zh-CN"/>
              </w:rPr>
              <w:t>▲13.应具有相应嵌入式软件的软件著作权（提供证书复印件</w:t>
            </w:r>
            <w:r>
              <w:rPr>
                <w:rFonts w:hint="default" w:ascii="仿宋" w:hAnsi="仿宋" w:eastAsia="仿宋" w:cs="仿宋"/>
                <w:color w:val="auto"/>
                <w:sz w:val="28"/>
                <w:szCs w:val="28"/>
                <w:highlight w:val="none"/>
                <w:lang w:eastAsia="zh-CN"/>
              </w:rPr>
              <w:t>）</w:t>
            </w:r>
          </w:p>
        </w:tc>
        <w:tc>
          <w:tcPr>
            <w:tcW w:w="919" w:type="dxa"/>
            <w:vAlign w:val="center"/>
          </w:tcPr>
          <w:p w14:paraId="20A599E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0C0D73D5">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r w14:paraId="1CA6D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4BA3905A">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9</w:t>
            </w:r>
          </w:p>
        </w:tc>
        <w:tc>
          <w:tcPr>
            <w:tcW w:w="1421" w:type="dxa"/>
            <w:vAlign w:val="center"/>
          </w:tcPr>
          <w:p w14:paraId="5CE59D8B">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无线液位采集传输单元</w:t>
            </w:r>
          </w:p>
        </w:tc>
        <w:tc>
          <w:tcPr>
            <w:tcW w:w="4976" w:type="dxa"/>
            <w:vAlign w:val="center"/>
          </w:tcPr>
          <w:p w14:paraId="6FD9B6F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1.工作电源 3.6V，19Ah，或外接电源。</w:t>
            </w:r>
          </w:p>
          <w:p w14:paraId="0E4CD09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2.通讯方式：4G/NB-iot/LORa</w:t>
            </w:r>
          </w:p>
          <w:p w14:paraId="33E9EC0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3.测量精度应不低于1% FS；</w:t>
            </w:r>
          </w:p>
          <w:p w14:paraId="30104F2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4.量程 0MPa~1.6MPa；</w:t>
            </w:r>
            <w:r>
              <w:rPr>
                <w:rFonts w:ascii="仿宋" w:hAnsi="仿宋" w:eastAsia="仿宋" w:cs="仿宋"/>
                <w:sz w:val="28"/>
                <w:szCs w:val="28"/>
                <w:highlight w:val="none"/>
                <w:lang w:eastAsia="zh-CN"/>
              </w:rPr>
              <w:br w:type="textWrapping"/>
            </w:r>
            <w:r>
              <w:rPr>
                <w:rFonts w:ascii="仿宋" w:hAnsi="仿宋" w:eastAsia="仿宋" w:cs="仿宋"/>
                <w:sz w:val="28"/>
                <w:szCs w:val="28"/>
                <w:highlight w:val="none"/>
                <w:lang w:eastAsia="zh-CN"/>
              </w:rPr>
              <w:t>5.工作温度 -20℃~70℃；工作环境相对湿度为 5%～95%；</w:t>
            </w:r>
          </w:p>
          <w:p w14:paraId="7CB8CAF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6.采样频率、数据传输频率应支持自定义设置，采样精度不低于16bit；</w:t>
            </w:r>
            <w:r>
              <w:rPr>
                <w:rFonts w:ascii="仿宋" w:hAnsi="仿宋" w:eastAsia="仿宋" w:cs="仿宋"/>
                <w:sz w:val="28"/>
                <w:szCs w:val="28"/>
                <w:highlight w:val="none"/>
                <w:lang w:eastAsia="zh-CN"/>
              </w:rPr>
              <w:br w:type="textWrapping"/>
            </w:r>
            <w:r>
              <w:rPr>
                <w:rFonts w:ascii="仿宋" w:hAnsi="仿宋" w:eastAsia="仿宋" w:cs="仿宋"/>
                <w:sz w:val="28"/>
                <w:szCs w:val="28"/>
                <w:highlight w:val="none"/>
                <w:lang w:eastAsia="zh-CN"/>
              </w:rPr>
              <w:t>7.设备休眠电流不大于10uA。（应提供具有CNAS/CMA认证的第三方检测报告认证）；</w:t>
            </w:r>
          </w:p>
          <w:p w14:paraId="584ED94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8.LCD屏实时显示当前压力、信号强度、以及数据上发状态；</w:t>
            </w:r>
            <w:r>
              <w:rPr>
                <w:rFonts w:ascii="仿宋" w:hAnsi="仿宋" w:eastAsia="仿宋" w:cs="仿宋"/>
                <w:sz w:val="28"/>
                <w:szCs w:val="28"/>
                <w:highlight w:val="none"/>
                <w:lang w:eastAsia="zh-CN"/>
              </w:rPr>
              <w:br w:type="textWrapping"/>
            </w:r>
            <w:r>
              <w:rPr>
                <w:rFonts w:ascii="仿宋" w:hAnsi="仿宋" w:eastAsia="仿宋" w:cs="仿宋"/>
                <w:sz w:val="28"/>
                <w:szCs w:val="28"/>
                <w:highlight w:val="none"/>
                <w:lang w:eastAsia="zh-CN"/>
              </w:rPr>
              <w:t>9.设备可远程配置源地址；</w:t>
            </w:r>
          </w:p>
          <w:p w14:paraId="63F2E66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▲10.设备支持双平台发送数据</w:t>
            </w:r>
          </w:p>
          <w:p w14:paraId="787D637D">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▲11.设备具有远程在线配置IP地址、固件升级等功能。（应提供具有CNAS/CMA认证的第三方检测报告认证）；</w:t>
            </w:r>
            <w:r>
              <w:rPr>
                <w:rFonts w:ascii="仿宋" w:hAnsi="仿宋" w:eastAsia="仿宋" w:cs="仿宋"/>
                <w:sz w:val="28"/>
                <w:szCs w:val="28"/>
                <w:highlight w:val="none"/>
                <w:lang w:eastAsia="zh-CN"/>
              </w:rPr>
              <w:br w:type="textWrapping"/>
            </w:r>
            <w:r>
              <w:rPr>
                <w:rFonts w:ascii="仿宋" w:hAnsi="仿宋" w:eastAsia="仿宋" w:cs="仿宋"/>
                <w:sz w:val="28"/>
                <w:szCs w:val="28"/>
                <w:highlight w:val="none"/>
                <w:lang w:eastAsia="zh-CN"/>
              </w:rPr>
              <w:t>▲12.设备支持自诊断功能，可通过APP或调试助手对产品进行设备故障诊断以及设备健康度评估（应提供具有CNAS/CMA认证的第三方检测报告认证）；</w:t>
            </w:r>
          </w:p>
        </w:tc>
        <w:tc>
          <w:tcPr>
            <w:tcW w:w="919" w:type="dxa"/>
            <w:vAlign w:val="center"/>
          </w:tcPr>
          <w:p w14:paraId="7D5EB87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35D738B2">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w:t>
            </w:r>
          </w:p>
        </w:tc>
      </w:tr>
      <w:tr w14:paraId="15FFB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47821A3E">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10</w:t>
            </w:r>
          </w:p>
        </w:tc>
        <w:tc>
          <w:tcPr>
            <w:tcW w:w="1421" w:type="dxa"/>
            <w:vAlign w:val="center"/>
          </w:tcPr>
          <w:p w14:paraId="6535A4BF">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无线压力采集传输单元</w:t>
            </w:r>
          </w:p>
        </w:tc>
        <w:tc>
          <w:tcPr>
            <w:tcW w:w="4976" w:type="dxa"/>
            <w:vAlign w:val="center"/>
          </w:tcPr>
          <w:p w14:paraId="55FE26A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1.量程：0-5米，可定制;</w:t>
            </w:r>
          </w:p>
          <w:p w14:paraId="121CAFE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2.精度等级：1.0%，可定制;</w:t>
            </w:r>
          </w:p>
          <w:p w14:paraId="7194FA5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3.通讯方式：4G/NB-iot/LORa；</w:t>
            </w:r>
          </w:p>
          <w:p w14:paraId="7B55027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4.长期稳定性：±0.5%;</w:t>
            </w:r>
          </w:p>
          <w:p w14:paraId="074CA33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5.过载压力：200%;</w:t>
            </w:r>
          </w:p>
          <w:p w14:paraId="221E44EE">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6.供电电压：3.6V锂电池，电池容量19Ah;</w:t>
            </w:r>
          </w:p>
          <w:p w14:paraId="7E47310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▲7.支持双平台发送数据;</w:t>
            </w:r>
          </w:p>
          <w:p w14:paraId="0C30E031">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8.设备支持远程固件升级;</w:t>
            </w:r>
          </w:p>
          <w:p w14:paraId="4A157B0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9.设备支持自诊断功能，可通过APP或调试助手对产品进行设备故障诊断以及设备健康度评估；</w:t>
            </w:r>
          </w:p>
          <w:p w14:paraId="351CF94F">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10.设备支持手机蓝牙连接，可对数据上发周期、采样频率，压力报警阈值、地理位置信息等进行配置；</w:t>
            </w:r>
          </w:p>
          <w:p w14:paraId="33950FA9">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▲11.设备支持平台下发指令，对数据上发周期、采样频率，压力报警阈值及IP进行配置等；</w:t>
            </w:r>
          </w:p>
          <w:p w14:paraId="78869691">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▲12.设备天线在增益为2.1326dBi至4.3dBi中测试效率范围为50.59%至95.09%</w:t>
            </w:r>
          </w:p>
        </w:tc>
        <w:tc>
          <w:tcPr>
            <w:tcW w:w="919" w:type="dxa"/>
            <w:vAlign w:val="center"/>
          </w:tcPr>
          <w:p w14:paraId="5E4B2026">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台</w:t>
            </w:r>
          </w:p>
        </w:tc>
        <w:tc>
          <w:tcPr>
            <w:tcW w:w="1511" w:type="dxa"/>
            <w:vAlign w:val="center"/>
          </w:tcPr>
          <w:p w14:paraId="031D4C2B">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31</w:t>
            </w:r>
          </w:p>
        </w:tc>
      </w:tr>
      <w:tr w14:paraId="22EB9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02EF4BF8">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11</w:t>
            </w:r>
          </w:p>
        </w:tc>
        <w:tc>
          <w:tcPr>
            <w:tcW w:w="1421" w:type="dxa"/>
            <w:vAlign w:val="center"/>
          </w:tcPr>
          <w:p w14:paraId="3142238A">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独立式感烟火灾探测器</w:t>
            </w:r>
          </w:p>
        </w:tc>
        <w:tc>
          <w:tcPr>
            <w:tcW w:w="4976" w:type="dxa"/>
            <w:vAlign w:val="center"/>
          </w:tcPr>
          <w:p w14:paraId="1DA71248">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1．通讯方式：支持4G Cat.1；</w:t>
            </w:r>
          </w:p>
          <w:p w14:paraId="18BC3D85">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2.</w:t>
            </w:r>
            <w:r>
              <w:rPr>
                <w:highlight w:val="none"/>
              </w:rPr>
              <w:t xml:space="preserve"> </w:t>
            </w:r>
            <w:r>
              <w:rPr>
                <w:rFonts w:ascii="仿宋" w:hAnsi="仿宋" w:eastAsia="仿宋" w:cs="仿宋"/>
                <w:sz w:val="28"/>
                <w:szCs w:val="28"/>
                <w:highlight w:val="none"/>
                <w:lang w:eastAsia="zh-CN"/>
              </w:rPr>
              <w:t>采用双波段检测发射技术，可有效过滤水汽环境引起的误报；</w:t>
            </w:r>
          </w:p>
          <w:p w14:paraId="1E5377B5">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3.支持温度上传，温度值上报范围：-10℃～70℃；</w:t>
            </w:r>
          </w:p>
          <w:p w14:paraId="19C5CF46">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4.</w:t>
            </w:r>
            <w:r>
              <w:rPr>
                <w:highlight w:val="none"/>
              </w:rPr>
              <w:t xml:space="preserve"> </w:t>
            </w:r>
            <w:r>
              <w:rPr>
                <w:rFonts w:ascii="仿宋" w:hAnsi="仿宋" w:eastAsia="仿宋" w:cs="仿宋"/>
                <w:sz w:val="28"/>
                <w:szCs w:val="28"/>
                <w:highlight w:val="none"/>
                <w:lang w:eastAsia="zh-CN"/>
              </w:rPr>
              <w:t>供电电压：DC6V（4节1.5V），寿命3年以上；</w:t>
            </w:r>
          </w:p>
          <w:p w14:paraId="29FF1A7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5．静态电流：≤10μA；</w:t>
            </w:r>
          </w:p>
          <w:p w14:paraId="492B6EF6">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6．本地报警方式：声、光报警；</w:t>
            </w:r>
          </w:p>
          <w:p w14:paraId="6DD1E40D">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7.</w:t>
            </w:r>
            <w:r>
              <w:rPr>
                <w:highlight w:val="none"/>
              </w:rPr>
              <w:t xml:space="preserve"> </w:t>
            </w:r>
            <w:r>
              <w:rPr>
                <w:rFonts w:ascii="仿宋" w:hAnsi="仿宋" w:eastAsia="仿宋" w:cs="仿宋"/>
                <w:sz w:val="28"/>
                <w:szCs w:val="28"/>
                <w:highlight w:val="none"/>
                <w:lang w:eastAsia="zh-CN"/>
              </w:rPr>
              <w:t>具备欠压告警、拆卸告警、传感器故障、产品污染告警等功能；</w:t>
            </w:r>
          </w:p>
          <w:p w14:paraId="5BAA000D">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▲8.</w:t>
            </w:r>
            <w:r>
              <w:rPr>
                <w:highlight w:val="none"/>
              </w:rPr>
              <w:t xml:space="preserve"> </w:t>
            </w:r>
            <w:r>
              <w:rPr>
                <w:rFonts w:ascii="仿宋" w:hAnsi="仿宋" w:eastAsia="仿宋" w:cs="仿宋"/>
                <w:sz w:val="28"/>
                <w:szCs w:val="28"/>
                <w:highlight w:val="none"/>
                <w:lang w:eastAsia="zh-CN"/>
              </w:rPr>
              <w:t>设备具有至少二层防护装置设计，采用传感器迷宫防护结构，可以防止直径＞1.0mm的异物进入室内，进烟口有≤0.6mm防虫防尘网防护网，其中进烟口防护设计为不锈钢金属材质防护网。（应提供具有CMA或CNAS标识的第三方检测报告扫描件并加盖制造商公章）；</w:t>
            </w:r>
          </w:p>
          <w:p w14:paraId="42BE2A02">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▲9.</w:t>
            </w:r>
            <w:r>
              <w:rPr>
                <w:highlight w:val="none"/>
              </w:rPr>
              <w:t xml:space="preserve"> </w:t>
            </w:r>
            <w:r>
              <w:rPr>
                <w:rFonts w:ascii="仿宋" w:hAnsi="仿宋" w:eastAsia="仿宋" w:cs="仿宋"/>
                <w:sz w:val="28"/>
                <w:szCs w:val="28"/>
                <w:highlight w:val="none"/>
                <w:lang w:eastAsia="zh-CN"/>
              </w:rPr>
              <w:t>联网状态指示：设备应具备联网状态指示至少包括联网失败、注册失败激活成功等提示功能。（应提供具有CMA或CNAS标识的第三方检测报告扫描件并加盖制造商公章）；</w:t>
            </w:r>
          </w:p>
          <w:p w14:paraId="727A3655">
            <w:pPr>
              <w:pStyle w:val="28"/>
              <w:snapToGrid w:val="0"/>
              <w:rPr>
                <w:rFonts w:hint="default" w:ascii="仿宋" w:hAnsi="仿宋" w:eastAsia="仿宋" w:cs="仿宋"/>
                <w:sz w:val="28"/>
                <w:szCs w:val="28"/>
                <w:highlight w:val="none"/>
                <w:lang w:eastAsia="zh-CN"/>
              </w:rPr>
            </w:pPr>
            <w:r>
              <w:rPr>
                <w:rFonts w:ascii="仿宋" w:hAnsi="仿宋" w:eastAsia="仿宋" w:cs="仿宋"/>
                <w:sz w:val="28"/>
                <w:szCs w:val="28"/>
                <w:highlight w:val="none"/>
                <w:lang w:eastAsia="zh-CN"/>
              </w:rPr>
              <w:t>▲10.</w:t>
            </w:r>
            <w:r>
              <w:rPr>
                <w:highlight w:val="none"/>
              </w:rPr>
              <w:t xml:space="preserve"> </w:t>
            </w:r>
            <w:r>
              <w:rPr>
                <w:rFonts w:ascii="仿宋" w:hAnsi="仿宋" w:eastAsia="仿宋" w:cs="仿宋"/>
                <w:sz w:val="28"/>
                <w:szCs w:val="28"/>
                <w:highlight w:val="none"/>
                <w:lang w:eastAsia="zh-CN"/>
              </w:rPr>
              <w:t>外壳防护等级≥IP31。（应提供具有CMA或CNAS标识的第三方检测报告扫描件并加盖制造商公章）；</w:t>
            </w:r>
          </w:p>
          <w:p w14:paraId="6712006C">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▲11.外壳阻燃：产品的外壳、底座等，其外壳应能阻燃，经火焰烧5次，每次5s，不应烧着起火。（应提供具有CMA或CNAS标识的第三方检测报告扫描件并加盖制造商公章）</w:t>
            </w:r>
          </w:p>
          <w:p w14:paraId="147BFB7F">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▲12.</w:t>
            </w:r>
            <w:r>
              <w:rPr>
                <w:highlight w:val="none"/>
              </w:rPr>
              <w:t xml:space="preserve"> </w:t>
            </w:r>
            <w:r>
              <w:rPr>
                <w:rFonts w:ascii="仿宋" w:hAnsi="仿宋" w:eastAsia="仿宋" w:cs="仿宋"/>
                <w:sz w:val="28"/>
                <w:szCs w:val="28"/>
                <w:highlight w:val="none"/>
                <w:lang w:eastAsia="zh-CN"/>
              </w:rPr>
              <w:t>必须取得应急管理部消防产品合格评定中心执行国家标准GB 20517-2006《独立式感烟火灾探测报警器》的强制性产品认证证书；</w:t>
            </w:r>
          </w:p>
          <w:p w14:paraId="515A32AF">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13.</w:t>
            </w:r>
            <w:r>
              <w:rPr>
                <w:highlight w:val="none"/>
              </w:rPr>
              <w:t xml:space="preserve"> </w:t>
            </w:r>
            <w:r>
              <w:rPr>
                <w:rFonts w:ascii="仿宋" w:hAnsi="仿宋" w:eastAsia="仿宋" w:cs="仿宋"/>
                <w:sz w:val="28"/>
                <w:szCs w:val="28"/>
                <w:highlight w:val="none"/>
                <w:lang w:eastAsia="zh-CN"/>
              </w:rPr>
              <w:t>投标产品型号具有进网许可证书、无线电发射设备型号核准证书；</w:t>
            </w:r>
          </w:p>
        </w:tc>
        <w:tc>
          <w:tcPr>
            <w:tcW w:w="919" w:type="dxa"/>
            <w:vAlign w:val="center"/>
          </w:tcPr>
          <w:p w14:paraId="0C57545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只</w:t>
            </w:r>
          </w:p>
        </w:tc>
        <w:tc>
          <w:tcPr>
            <w:tcW w:w="1511" w:type="dxa"/>
            <w:vAlign w:val="center"/>
          </w:tcPr>
          <w:p w14:paraId="7701BCA8">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50</w:t>
            </w:r>
          </w:p>
          <w:p w14:paraId="0D4B759C">
            <w:pPr>
              <w:pStyle w:val="28"/>
              <w:snapToGrid w:val="0"/>
              <w:jc w:val="center"/>
              <w:rPr>
                <w:rFonts w:ascii="仿宋" w:hAnsi="仿宋" w:eastAsia="仿宋" w:cs="仿宋"/>
                <w:sz w:val="28"/>
                <w:szCs w:val="28"/>
                <w:highlight w:val="none"/>
                <w:lang w:eastAsia="zh-CN"/>
              </w:rPr>
            </w:pPr>
          </w:p>
        </w:tc>
      </w:tr>
      <w:tr w14:paraId="1BEB3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0D6F26FA">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12</w:t>
            </w:r>
          </w:p>
        </w:tc>
        <w:tc>
          <w:tcPr>
            <w:tcW w:w="1421" w:type="dxa"/>
            <w:vAlign w:val="center"/>
          </w:tcPr>
          <w:p w14:paraId="7C370CD3">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智慧消防云平台</w:t>
            </w:r>
          </w:p>
        </w:tc>
        <w:tc>
          <w:tcPr>
            <w:tcW w:w="4976" w:type="dxa"/>
            <w:vAlign w:val="center"/>
          </w:tcPr>
          <w:p w14:paraId="66F3E9D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一、信息展示。</w:t>
            </w:r>
          </w:p>
          <w:p w14:paraId="365EF29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支持查看报警器编号、地址、经纬度等基础信息，实时获取信号值、电池电量、在线情况、响应时间等数据，以及历史报警信息、故障信息、复位动作等基本信息。支持统计并显示中标人监测服务范围内的报警器完好率、误报率、在线率、故障处置率、火警响应效率等。</w:t>
            </w:r>
          </w:p>
          <w:p w14:paraId="738D4CA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消防单位信息管理，主要包含单位基本信息管理、建筑物管理、消防人员管理、消控室管理、扑救力量管理、制度职责、维保合同管理几个模块；实现对单位基本信息进行管理和归档。并提供单位档案，以单位为入口，查看各个单位的基础信息、报警信息、隐患信息、安全评分信息等。支持人员信息列表管理，详细的人员信息展示，包括负责设备和权限范围（提供封面具有CMA或CNAS标识的第三方检测（检验）机构出具的检测（检验）报告复印件，并加盖投标人公章佐证）</w:t>
            </w:r>
          </w:p>
          <w:p w14:paraId="0EC21BD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支持展示建筑物及重点部位的基本信息，支持按建筑物名称、区域、建筑类型等进行排序和筛选，以及建筑物信息的新增、编辑、删除和详情查看操作；支持消防设施可视化分布；（提供封面具有CMA或CNAS标识的第三方检测（检验）机构出具的检测（检验）报告复印件，并加盖投标人公章佐证）</w:t>
            </w:r>
          </w:p>
          <w:p w14:paraId="47B33FCE">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支持以五种维度对单位进行消防安全评分计算，并支持用户后台自定义配置维度占比；五种维度为单位信息完整度、建筑物管理、日常维护管理、物联网感知、历史火灾信息；（提供封面具有CMA或CNAS标识的第三方检测（检验）机构出具的检测（检验）报告复印件，并加盖投标人公章佐证）</w:t>
            </w:r>
          </w:p>
          <w:p w14:paraId="42A391DC">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4、平台应支持对接消防云平台的工程服务，支持通过在云平台界面上智能识别消防图纸上的部件类型及其编号信息并关联系统传感器和位置并自动标注上图；（提供封面具有CMA或CNAS标识的第三方检测（检验）机构出具的检测（检验）报告复印件，并加盖投标人公章佐证）</w:t>
            </w:r>
          </w:p>
          <w:p w14:paraId="181F7E7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5、支持查看报警类型、报警等级、报警次数、所属设备等信息，并形成报警日历，查看报警点位的历史报警记录；</w:t>
            </w:r>
          </w:p>
          <w:p w14:paraId="0B43510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6、支持查看报警数据的统计分析，报警和真实火警的数量，查看今日报警、今日处理率、近一年报警、报警处理率。</w:t>
            </w:r>
          </w:p>
          <w:p w14:paraId="3088636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二、火警监测。</w:t>
            </w:r>
          </w:p>
          <w:p w14:paraId="7B5ACC9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支持中标人实时接收报警器火警信息，通过短信、电话、微信、APP等多种方式通知老人及其联系人、中标人。支持真实火警处理记录和结果查看。</w:t>
            </w:r>
          </w:p>
          <w:p w14:paraId="6567E36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7、支持接入火灾报警控制器、用户信息传输装置等设备，实现设备报警、故障和监测值的接收；</w:t>
            </w:r>
          </w:p>
          <w:p w14:paraId="5D8C77F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▲8、支持对独立式烟温感设备进行远程消音、复位的操作；</w:t>
            </w:r>
          </w:p>
          <w:p w14:paraId="70E3B88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9、平台WEB端应支持对报警信息进行分级处理，并支持自定义配置分级推送时间和分级推送人员。（提供封面具有CMA或CNAS标识的第三方检测（检验）机构出具的检测（检验）报告复印件，并加盖投标人公章佐证）</w:t>
            </w:r>
          </w:p>
          <w:p w14:paraId="6B2B7699">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10、消防工作台支持查看真实火警数量、今日报警数量、未处理报警数量、今日隐患、未处理隐患，支持深色模式和亮色模式的切换。（需提供功能截图和封面具有CMA或CNAS标识的第三方检测（检验）机构出具的检测（检验）报告复印件，并加盖投标人公章佐证）</w:t>
            </w:r>
          </w:p>
          <w:p w14:paraId="7D71BE2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11、支持在工作台对报警等级、报警类型、报警时间、处理状态进行筛选，支持报警的批量处理；</w:t>
            </w:r>
          </w:p>
          <w:p w14:paraId="0F98874F">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12、支持查看报警的操作记录、查看联系人及联系方式、设备操作、输入处理意见，并将报警处理为核实中、误报、测试、火警.支持查看报警类型、报警等级、报警次数、所属设备等信息，并形成报警日历，查看报警点位的历史报警记录。</w:t>
            </w:r>
          </w:p>
          <w:p w14:paraId="698B8A8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三、运维服务。</w:t>
            </w:r>
          </w:p>
          <w:p w14:paraId="294E836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支持上报故障信息处理信息、火警信息处置信息等数据。</w:t>
            </w:r>
          </w:p>
          <w:p w14:paraId="441329BB">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13、查看真实火警数、今日报警数、未处理报警数、今日隐患数、未处理隐患数和屏蔽传感器的数量，支持设施告警、故障信息复核审计，告警、故障发生原因录入系统等；</w:t>
            </w:r>
          </w:p>
          <w:p w14:paraId="2E34D0B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14、平台WEB端应支持按设备与传感器进行报警/故障进行屏蔽配置，支持通过使用周计划与节假日的时间模版进行配置；当配置后在屏蔽时间段内设备/传感器发出报警/故障时，平台将不再接收；（提供封面具有CMA或CNAS标识的第三方检测（检验）机构出具的检测（检验）报告复印件，并加盖投标人公章佐证）</w:t>
            </w:r>
          </w:p>
          <w:p w14:paraId="3B36BD0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15、支持接收隐患、查看隐患详情及处理隐患，查看隐患信息、位置信息、隐患日历及隐患图片；隐患类型包含巡查隐患、一键上报隐患、防火检查隐患、岗位自查隐患、设备故障及误报隐患；（提供国家认可的第三方检测机构出具的检测报告扫描件并加盖供应商电子签章）</w:t>
            </w:r>
          </w:p>
          <w:p w14:paraId="3DFEFEF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16、支持在工作台对隐患类型、隐患时间、处理状态进行筛选，支持隐患的批量处理；</w:t>
            </w:r>
          </w:p>
          <w:p w14:paraId="7A8793B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17、支持隐患处理时，查看操作记录、联系人、设备操作、输入处理意见，并将隐患处理未处理中、转工单和已处理；</w:t>
            </w:r>
          </w:p>
          <w:p w14:paraId="3E3A620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18、支持对消防设备状态进行监测（包括设备名称、编号、类型、详细位置、监测状态等），并按设备更新时间、监测值更新时间、设备名称、区域等级排序并导出设备信息，支持按设备名称、编号、类型、所属系统/区域、详细位置、监测项状态查询。（提供封面具有CMA或CNAS标识的第三方检测（检验）机构出具的检测（检验）报告复印件，并加盖投标人公章佐证）</w:t>
            </w:r>
          </w:p>
          <w:p w14:paraId="60CF169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19、支持产生展示关键指标（今日任务、异常数量、完成率、视频巡查点、人工巡查点等）；支持展示区域分布图PDCA闭环进度管理卡片；支持展示所有巡查任务的详细信息和状态；突出显示需要处理的消防设施问题。（提供封面具有CMA或CNAS标识的第三方检测（检验）机构出具的检测（检验）报告复印件，并加盖投标人公章佐证）</w:t>
            </w:r>
          </w:p>
          <w:p w14:paraId="03A237E3">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四、管理功能。</w:t>
            </w:r>
          </w:p>
          <w:p w14:paraId="0146A63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20、支持组织的增删改查；</w:t>
            </w:r>
          </w:p>
          <w:p w14:paraId="0E62EF36">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21、支持批量添加组织；</w:t>
            </w:r>
          </w:p>
          <w:p w14:paraId="047FA7B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22、支持角色的增删改查；</w:t>
            </w:r>
          </w:p>
          <w:p w14:paraId="3050CB57">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23、支持配置不同角色权限，包括菜单权限、组织权限、区域权限、资源权限、功能控制权限；</w:t>
            </w:r>
          </w:p>
          <w:p w14:paraId="269593DF">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▲24、平台WEB端登录应支持验证码、连续登录尝试次数限制及IP地址限制等身份鉴别方式；（提供封面具有CMA或CNAS标识的第三方检测（检验）机构出具的检测（检验）报告复印件，并加盖投标人公章佐证）</w:t>
            </w:r>
          </w:p>
          <w:p w14:paraId="5356AA3D">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▲25、平台WEB端应提供统一的认证、授权管理机制，并应支持HTTPS以及密码安全加密访问认证；（提供封面具有CMA或CNAS标识的第三方检测（检验）机构出具的检测（检验）报告复印件，并加盖投标人公章佐证）</w:t>
            </w:r>
          </w:p>
          <w:p w14:paraId="3ECDCEA6">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26、支持消防设备管理的增删改查、导入导出移动；</w:t>
            </w:r>
          </w:p>
          <w:p w14:paraId="787D886C">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27、支持在线、离线的GIS地图；</w:t>
            </w:r>
          </w:p>
          <w:p w14:paraId="02E79A7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28、支持png、jpg格式的静态地图；</w:t>
            </w:r>
          </w:p>
          <w:p w14:paraId="0A1C7044">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29、支持展示实时报警事件。事件发生时，地图上资源点会改变颜色并闪烁；</w:t>
            </w:r>
          </w:p>
          <w:p w14:paraId="000B8F51">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▲30、支持查看实时事件详情，详情信息包括事件级别、状态、发生时间、处理意见、所属区域/位置、事件源、事件类型；</w:t>
            </w:r>
          </w:p>
          <w:p w14:paraId="5685B9C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31、支持管理用户信息；支持人员权限管理；支持报警器添加、删除，远程消音；支持报警联动语音、短信等配置；支持添加、修改、删除、导入、导出等行为的日志记录。</w:t>
            </w:r>
          </w:p>
          <w:p w14:paraId="63351469">
            <w:pPr>
              <w:pStyle w:val="28"/>
              <w:snapToGrid w:val="0"/>
              <w:rPr>
                <w:rFonts w:ascii="仿宋" w:hAnsi="仿宋" w:eastAsia="仿宋" w:cs="仿宋"/>
                <w:sz w:val="28"/>
                <w:szCs w:val="28"/>
                <w:highlight w:val="none"/>
                <w:lang w:val="zh-CN" w:eastAsia="zh-CN"/>
              </w:rPr>
            </w:pPr>
            <w:r>
              <w:rPr>
                <w:rFonts w:ascii="仿宋" w:hAnsi="仿宋" w:eastAsia="仿宋" w:cs="仿宋"/>
                <w:sz w:val="28"/>
                <w:szCs w:val="28"/>
                <w:highlight w:val="none"/>
                <w:lang w:eastAsia="zh-CN"/>
              </w:rPr>
              <w:t>32、支持</w:t>
            </w:r>
            <w:r>
              <w:rPr>
                <w:rFonts w:ascii="仿宋" w:hAnsi="仿宋" w:eastAsia="仿宋" w:cs="仿宋"/>
                <w:sz w:val="28"/>
                <w:szCs w:val="28"/>
                <w:highlight w:val="none"/>
                <w:lang w:val="zh-CN" w:eastAsia="zh-CN"/>
              </w:rPr>
              <w:t>实时查看实时事件详情、接收报警和隐患信息，管理、记录消防设备的报警日志；</w:t>
            </w:r>
          </w:p>
          <w:p w14:paraId="065CF02B">
            <w:pPr>
              <w:pStyle w:val="28"/>
              <w:snapToGrid w:val="0"/>
              <w:rPr>
                <w:rFonts w:ascii="仿宋" w:hAnsi="仿宋" w:eastAsia="仿宋" w:cs="仿宋"/>
                <w:sz w:val="28"/>
                <w:szCs w:val="28"/>
                <w:highlight w:val="none"/>
                <w:lang w:val="zh-CN" w:eastAsia="zh-CN"/>
              </w:rPr>
            </w:pPr>
            <w:r>
              <w:rPr>
                <w:rFonts w:ascii="仿宋" w:hAnsi="仿宋" w:eastAsia="仿宋" w:cs="仿宋"/>
                <w:sz w:val="28"/>
                <w:szCs w:val="28"/>
                <w:highlight w:val="none"/>
                <w:lang w:eastAsia="zh-CN"/>
              </w:rPr>
              <w:t>33、</w:t>
            </w:r>
            <w:r>
              <w:rPr>
                <w:rFonts w:ascii="仿宋" w:hAnsi="仿宋" w:eastAsia="仿宋" w:cs="仿宋"/>
                <w:sz w:val="28"/>
                <w:szCs w:val="28"/>
                <w:highlight w:val="none"/>
                <w:lang w:val="zh-CN" w:eastAsia="zh-CN"/>
              </w:rPr>
              <w:t>支持查看报警详情，详情信息包括事件级别、状态、发生时间、处理意见、所属区域/位置、事件源、事件类型；</w:t>
            </w:r>
          </w:p>
          <w:p w14:paraId="367643F0">
            <w:pPr>
              <w:pStyle w:val="28"/>
              <w:snapToGrid w:val="0"/>
              <w:rPr>
                <w:rFonts w:ascii="仿宋" w:hAnsi="仿宋" w:eastAsia="仿宋" w:cs="仿宋"/>
                <w:sz w:val="28"/>
                <w:szCs w:val="28"/>
                <w:highlight w:val="none"/>
                <w:lang w:val="zh-CN" w:eastAsia="zh-CN"/>
              </w:rPr>
            </w:pPr>
            <w:r>
              <w:rPr>
                <w:rFonts w:ascii="仿宋" w:hAnsi="仿宋" w:eastAsia="仿宋" w:cs="仿宋"/>
                <w:sz w:val="28"/>
                <w:szCs w:val="28"/>
                <w:highlight w:val="none"/>
                <w:lang w:eastAsia="zh-CN"/>
              </w:rPr>
              <w:t>34、</w:t>
            </w:r>
            <w:r>
              <w:rPr>
                <w:rFonts w:ascii="仿宋" w:hAnsi="仿宋" w:eastAsia="仿宋" w:cs="仿宋"/>
                <w:sz w:val="28"/>
                <w:szCs w:val="28"/>
                <w:highlight w:val="none"/>
                <w:lang w:val="zh-CN" w:eastAsia="zh-CN"/>
              </w:rPr>
              <w:t>支持设施告警故障记录查询按所属区域、编号、报警时间、报警类型</w:t>
            </w:r>
            <w:r>
              <w:rPr>
                <w:rFonts w:ascii="仿宋" w:hAnsi="仿宋" w:eastAsia="仿宋" w:cs="仿宋"/>
                <w:sz w:val="28"/>
                <w:szCs w:val="28"/>
                <w:highlight w:val="none"/>
                <w:lang w:eastAsia="zh-CN"/>
              </w:rPr>
              <w:t>等</w:t>
            </w:r>
            <w:r>
              <w:rPr>
                <w:rFonts w:ascii="仿宋" w:hAnsi="仿宋" w:eastAsia="仿宋" w:cs="仿宋"/>
                <w:sz w:val="28"/>
                <w:szCs w:val="28"/>
                <w:highlight w:val="none"/>
                <w:lang w:val="zh-CN" w:eastAsia="zh-CN"/>
              </w:rPr>
              <w:t>进行搜索查询，实时数据查看，数据变化查看等。</w:t>
            </w:r>
          </w:p>
          <w:p w14:paraId="72192F5E">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35、支持</w:t>
            </w:r>
            <w:r>
              <w:rPr>
                <w:rFonts w:ascii="仿宋" w:hAnsi="仿宋" w:eastAsia="仿宋" w:cs="仿宋"/>
                <w:sz w:val="28"/>
                <w:szCs w:val="28"/>
                <w:highlight w:val="none"/>
                <w:lang w:val="zh-CN" w:eastAsia="zh-CN"/>
              </w:rPr>
              <w:t>人员证件、合同、消防法规文件等上传、查询等。</w:t>
            </w:r>
          </w:p>
          <w:p w14:paraId="4B3B198A">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▲36、消防平台具有《计算机软件著作权登记证书》（提供相关证书复印件并加盖投标人公章证明）</w:t>
            </w:r>
          </w:p>
        </w:tc>
        <w:tc>
          <w:tcPr>
            <w:tcW w:w="919" w:type="dxa"/>
            <w:vAlign w:val="center"/>
          </w:tcPr>
          <w:p w14:paraId="354FAEA8">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使用费/年</w:t>
            </w:r>
          </w:p>
        </w:tc>
        <w:tc>
          <w:tcPr>
            <w:tcW w:w="1511" w:type="dxa"/>
            <w:vAlign w:val="center"/>
          </w:tcPr>
          <w:p w14:paraId="4CEC2F9C">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r w14:paraId="268F8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36EB2CBC">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13</w:t>
            </w:r>
          </w:p>
        </w:tc>
        <w:tc>
          <w:tcPr>
            <w:tcW w:w="1421" w:type="dxa"/>
            <w:vAlign w:val="center"/>
          </w:tcPr>
          <w:p w14:paraId="771FEA88">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二维码</w:t>
            </w:r>
          </w:p>
        </w:tc>
        <w:tc>
          <w:tcPr>
            <w:tcW w:w="4976" w:type="dxa"/>
            <w:vAlign w:val="center"/>
          </w:tcPr>
          <w:p w14:paraId="1E75532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巡查二维码标签</w:t>
            </w:r>
          </w:p>
        </w:tc>
        <w:tc>
          <w:tcPr>
            <w:tcW w:w="919" w:type="dxa"/>
            <w:vAlign w:val="center"/>
          </w:tcPr>
          <w:p w14:paraId="1602C5E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张</w:t>
            </w:r>
          </w:p>
        </w:tc>
        <w:tc>
          <w:tcPr>
            <w:tcW w:w="1511" w:type="dxa"/>
            <w:vAlign w:val="center"/>
          </w:tcPr>
          <w:p w14:paraId="036DCE49">
            <w:pPr>
              <w:pStyle w:val="28"/>
              <w:snapToGrid w:val="0"/>
              <w:jc w:val="center"/>
              <w:rPr>
                <w:rFonts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5</w:t>
            </w:r>
            <w:r>
              <w:rPr>
                <w:rFonts w:ascii="仿宋" w:hAnsi="仿宋" w:eastAsia="仿宋" w:cs="仿宋"/>
                <w:sz w:val="28"/>
                <w:szCs w:val="28"/>
                <w:highlight w:val="none"/>
                <w:lang w:eastAsia="zh-CN"/>
              </w:rPr>
              <w:t>00</w:t>
            </w:r>
          </w:p>
        </w:tc>
      </w:tr>
      <w:tr w14:paraId="50C36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2AF2C451">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14</w:t>
            </w:r>
          </w:p>
        </w:tc>
        <w:tc>
          <w:tcPr>
            <w:tcW w:w="1421" w:type="dxa"/>
            <w:vAlign w:val="center"/>
          </w:tcPr>
          <w:p w14:paraId="3E623011">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辅材</w:t>
            </w:r>
          </w:p>
        </w:tc>
        <w:tc>
          <w:tcPr>
            <w:tcW w:w="4976" w:type="dxa"/>
            <w:vAlign w:val="center"/>
          </w:tcPr>
          <w:p w14:paraId="57DAD171">
            <w:pPr>
              <w:pStyle w:val="28"/>
              <w:snapToGrid w:val="0"/>
              <w:rPr>
                <w:rFonts w:ascii="仿宋" w:hAnsi="仿宋" w:eastAsia="仿宋" w:cs="仿宋"/>
                <w:sz w:val="28"/>
                <w:szCs w:val="28"/>
                <w:highlight w:val="none"/>
              </w:rPr>
            </w:pPr>
            <w:r>
              <w:rPr>
                <w:rFonts w:ascii="仿宋" w:hAnsi="仿宋" w:eastAsia="仿宋" w:cs="仿宋"/>
                <w:sz w:val="28"/>
                <w:szCs w:val="28"/>
                <w:highlight w:val="none"/>
                <w:lang w:eastAsia="zh-CN"/>
              </w:rPr>
              <w:t>满足项目需要</w:t>
            </w:r>
          </w:p>
        </w:tc>
        <w:tc>
          <w:tcPr>
            <w:tcW w:w="919" w:type="dxa"/>
            <w:vAlign w:val="center"/>
          </w:tcPr>
          <w:p w14:paraId="00A1D105">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项</w:t>
            </w:r>
          </w:p>
        </w:tc>
        <w:tc>
          <w:tcPr>
            <w:tcW w:w="1511" w:type="dxa"/>
            <w:vAlign w:val="center"/>
          </w:tcPr>
          <w:p w14:paraId="5ADC4EAF">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r w14:paraId="5C8E2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5" w:type="dxa"/>
            <w:vAlign w:val="center"/>
          </w:tcPr>
          <w:p w14:paraId="74455DEA">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15</w:t>
            </w:r>
          </w:p>
        </w:tc>
        <w:tc>
          <w:tcPr>
            <w:tcW w:w="1421" w:type="dxa"/>
            <w:vAlign w:val="center"/>
          </w:tcPr>
          <w:p w14:paraId="2430E1A1">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安装费</w:t>
            </w:r>
          </w:p>
        </w:tc>
        <w:tc>
          <w:tcPr>
            <w:tcW w:w="4976" w:type="dxa"/>
            <w:vAlign w:val="center"/>
          </w:tcPr>
          <w:p w14:paraId="024CAEA4">
            <w:pPr>
              <w:pStyle w:val="28"/>
              <w:snapToGrid w:val="0"/>
              <w:rPr>
                <w:rFonts w:ascii="仿宋" w:hAnsi="仿宋" w:eastAsia="仿宋" w:cs="仿宋"/>
                <w:sz w:val="28"/>
                <w:szCs w:val="28"/>
                <w:highlight w:val="none"/>
              </w:rPr>
            </w:pPr>
            <w:r>
              <w:rPr>
                <w:rFonts w:ascii="仿宋" w:hAnsi="仿宋" w:eastAsia="仿宋" w:cs="仿宋"/>
                <w:sz w:val="28"/>
                <w:szCs w:val="28"/>
                <w:highlight w:val="none"/>
                <w:lang w:eastAsia="zh-CN"/>
              </w:rPr>
              <w:t>满足项目需要</w:t>
            </w:r>
          </w:p>
        </w:tc>
        <w:tc>
          <w:tcPr>
            <w:tcW w:w="919" w:type="dxa"/>
            <w:vAlign w:val="center"/>
          </w:tcPr>
          <w:p w14:paraId="52D47230">
            <w:pPr>
              <w:pStyle w:val="28"/>
              <w:snapToGrid w:val="0"/>
              <w:rPr>
                <w:rFonts w:ascii="仿宋" w:hAnsi="仿宋" w:eastAsia="仿宋" w:cs="仿宋"/>
                <w:sz w:val="28"/>
                <w:szCs w:val="28"/>
                <w:highlight w:val="none"/>
                <w:lang w:eastAsia="zh-CN"/>
              </w:rPr>
            </w:pPr>
            <w:r>
              <w:rPr>
                <w:rFonts w:ascii="仿宋" w:hAnsi="仿宋" w:eastAsia="仿宋" w:cs="仿宋"/>
                <w:sz w:val="28"/>
                <w:szCs w:val="28"/>
                <w:highlight w:val="none"/>
                <w:lang w:eastAsia="zh-CN"/>
              </w:rPr>
              <w:t>项</w:t>
            </w:r>
          </w:p>
        </w:tc>
        <w:tc>
          <w:tcPr>
            <w:tcW w:w="1511" w:type="dxa"/>
            <w:vAlign w:val="center"/>
          </w:tcPr>
          <w:p w14:paraId="3B2D8683">
            <w:pPr>
              <w:pStyle w:val="28"/>
              <w:snapToGrid w:val="0"/>
              <w:jc w:val="center"/>
              <w:rPr>
                <w:rFonts w:ascii="仿宋" w:hAnsi="仿宋" w:eastAsia="仿宋" w:cs="仿宋"/>
                <w:sz w:val="28"/>
                <w:szCs w:val="28"/>
                <w:highlight w:val="none"/>
                <w:lang w:eastAsia="zh-CN"/>
              </w:rPr>
            </w:pPr>
            <w:r>
              <w:rPr>
                <w:rFonts w:ascii="仿宋" w:hAnsi="仿宋" w:eastAsia="仿宋" w:cs="仿宋"/>
                <w:sz w:val="28"/>
                <w:szCs w:val="28"/>
                <w:highlight w:val="none"/>
                <w:lang w:eastAsia="zh-CN"/>
              </w:rPr>
              <w:t>1</w:t>
            </w:r>
          </w:p>
        </w:tc>
      </w:tr>
    </w:tbl>
    <w:p w14:paraId="55C9A7C5">
      <w:pPr>
        <w:spacing w:line="500" w:lineRule="exact"/>
        <w:rPr>
          <w:rFonts w:hint="eastAsia" w:ascii="黑体" w:hAnsi="黑体" w:eastAsia="黑体" w:cs="黑体"/>
          <w:sz w:val="28"/>
          <w:szCs w:val="28"/>
          <w:highlight w:val="none"/>
        </w:rPr>
      </w:pPr>
    </w:p>
    <w:p w14:paraId="3436090F">
      <w:pPr>
        <w:spacing w:line="360" w:lineRule="auto"/>
        <w:jc w:val="left"/>
        <w:rPr>
          <w:rFonts w:hint="eastAsia" w:ascii="仿宋" w:hAnsi="仿宋" w:eastAsia="仿宋" w:cs="仿宋"/>
          <w:b/>
          <w:sz w:val="32"/>
          <w:szCs w:val="32"/>
          <w:highlight w:val="none"/>
        </w:rPr>
      </w:pPr>
      <w:r>
        <w:rPr>
          <w:rFonts w:hint="eastAsia" w:ascii="仿宋" w:hAnsi="仿宋" w:eastAsia="仿宋" w:cs="仿宋"/>
          <w:b/>
          <w:bCs/>
          <w:sz w:val="24"/>
          <w:szCs w:val="24"/>
          <w:highlight w:val="none"/>
        </w:rPr>
        <w:t>★</w:t>
      </w:r>
      <w:r>
        <w:rPr>
          <w:rFonts w:hint="eastAsia" w:ascii="仿宋" w:hAnsi="仿宋" w:eastAsia="仿宋" w:cs="仿宋"/>
          <w:b/>
          <w:bCs/>
          <w:sz w:val="32"/>
          <w:szCs w:val="32"/>
          <w:highlight w:val="none"/>
        </w:rPr>
        <w:t>四</w:t>
      </w:r>
      <w:r>
        <w:rPr>
          <w:rFonts w:hint="eastAsia" w:ascii="仿宋" w:hAnsi="仿宋" w:eastAsia="仿宋" w:cs="仿宋"/>
          <w:b/>
          <w:sz w:val="32"/>
          <w:szCs w:val="32"/>
          <w:highlight w:val="none"/>
        </w:rPr>
        <w:t>、商务及其他要求</w:t>
      </w:r>
    </w:p>
    <w:p w14:paraId="18064BC9">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1、完成时间为签订合同时间起6个月内。</w:t>
      </w:r>
    </w:p>
    <w:p w14:paraId="44960E80">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2、交货地点：采购人指定地点。</w:t>
      </w:r>
    </w:p>
    <w:p w14:paraId="4BB70BFB">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付款方式：采购合同签订后，收到乙方正式发票10个工作日内，甲方支付合同金额的30%；项目完成验收后，收到乙方正式发票10个工作日内，甲方支付合同金额的65%；项目完成满一年后，收到乙方正式发票10个工作日内，甲方支付合同金额的5%。</w:t>
      </w:r>
    </w:p>
    <w:p w14:paraId="485380F6">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4、投标报价应包含产品价格、运输费、卸货费、安装费等完成本项目所需的一切费用。</w:t>
      </w:r>
    </w:p>
    <w:p w14:paraId="468742F8">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5、成交供应商为本项目施工现场安全生产、消防安全、施工质量安全的第一责任主体，签订合同的同时需签订安全生产协议，明确双方安全管理职责。</w:t>
      </w:r>
    </w:p>
    <w:p w14:paraId="4E21099F">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6、验收及质量要求：</w:t>
      </w:r>
    </w:p>
    <w:p w14:paraId="647AF752">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采购人按国家有关规定、行业标准,符合相关法律法规要求、采购文件的质量要求和技术指标、成交供应商的响应文件、承诺和合同约定标准进行验收。采购人与供应商双方如对质量要求和技术指标的约定标准有相互抵触或异议的事项，由采购人在采购文件及投标文件中按质量要求和技术指标比较优胜的原则确定该项的约定标准进行验收。</w:t>
      </w:r>
    </w:p>
    <w:p w14:paraId="5C6EE778">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7、其他未尽事宜由供需双方在采购合同中约定。</w:t>
      </w:r>
    </w:p>
    <w:p w14:paraId="25B2C8E7">
      <w:pP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注：1、以上带★号条款为实质性要求。</w:t>
      </w:r>
    </w:p>
    <w:p w14:paraId="56D20562">
      <w:pPr>
        <w:numPr>
          <w:ilvl w:val="0"/>
          <w:numId w:val="1"/>
        </w:numPr>
        <w:spacing w:line="360" w:lineRule="auto"/>
        <w:ind w:firstLine="562" w:firstLineChars="200"/>
        <w:rPr>
          <w:rFonts w:hint="eastAsia" w:ascii="仿宋" w:hAnsi="仿宋" w:eastAsia="仿宋" w:cs="仿宋"/>
          <w:b/>
          <w:bCs/>
          <w:sz w:val="28"/>
          <w:szCs w:val="28"/>
          <w:highlight w:val="none"/>
        </w:rPr>
      </w:pPr>
      <w:r>
        <w:rPr>
          <w:rFonts w:hint="eastAsia" w:ascii="仿宋" w:hAnsi="仿宋" w:eastAsia="仿宋" w:cs="仿宋"/>
          <w:b/>
          <w:sz w:val="28"/>
          <w:szCs w:val="28"/>
          <w:highlight w:val="none"/>
        </w:rPr>
        <w:t>本项目所涉及的所有国家标准、地方标准、行业标准等如有最新的标准以最新标准为准。</w:t>
      </w:r>
    </w:p>
    <w:p w14:paraId="522554AC">
      <w:pP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br w:type="page"/>
      </w:r>
    </w:p>
    <w:p w14:paraId="7D2E1CAD">
      <w:pPr>
        <w:spacing w:line="360" w:lineRule="auto"/>
        <w:outlineLvl w:val="0"/>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附件2：报价格式</w:t>
      </w:r>
    </w:p>
    <w:p w14:paraId="6D0F2303">
      <w:pPr>
        <w:spacing w:line="360" w:lineRule="auto"/>
        <w:outlineLvl w:val="0"/>
        <w:rPr>
          <w:rFonts w:hint="eastAsia" w:ascii="仿宋" w:hAnsi="仿宋" w:eastAsia="仿宋" w:cs="仿宋"/>
          <w:b/>
          <w:bCs/>
          <w:sz w:val="32"/>
          <w:szCs w:val="32"/>
          <w:highlight w:val="none"/>
        </w:rPr>
      </w:pPr>
    </w:p>
    <w:tbl>
      <w:tblPr>
        <w:tblStyle w:val="21"/>
        <w:tblW w:w="9983" w:type="dxa"/>
        <w:tblInd w:w="-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3783"/>
        <w:gridCol w:w="967"/>
        <w:gridCol w:w="916"/>
        <w:gridCol w:w="1800"/>
        <w:gridCol w:w="1567"/>
      </w:tblGrid>
      <w:tr w14:paraId="5875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9983" w:type="dxa"/>
            <w:gridSpan w:val="6"/>
            <w:vAlign w:val="center"/>
          </w:tcPr>
          <w:p w14:paraId="78BF2831">
            <w:pPr>
              <w:spacing w:line="360" w:lineRule="auto"/>
              <w:jc w:val="center"/>
              <w:outlineLvl w:val="0"/>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成都市新津区中医医院智慧消防系统改造采购项目询预算价</w:t>
            </w:r>
          </w:p>
        </w:tc>
      </w:tr>
      <w:tr w14:paraId="124E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3B6A6BC5">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3783" w:type="dxa"/>
            <w:vAlign w:val="center"/>
          </w:tcPr>
          <w:p w14:paraId="7CB52B25">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技术要求名称</w:t>
            </w:r>
          </w:p>
        </w:tc>
        <w:tc>
          <w:tcPr>
            <w:tcW w:w="967" w:type="dxa"/>
            <w:vAlign w:val="center"/>
          </w:tcPr>
          <w:p w14:paraId="4D452EB0">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单位</w:t>
            </w:r>
          </w:p>
        </w:tc>
        <w:tc>
          <w:tcPr>
            <w:tcW w:w="916" w:type="dxa"/>
            <w:vAlign w:val="center"/>
          </w:tcPr>
          <w:p w14:paraId="721D06B4">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数量</w:t>
            </w:r>
          </w:p>
        </w:tc>
        <w:tc>
          <w:tcPr>
            <w:tcW w:w="1800" w:type="dxa"/>
            <w:vAlign w:val="center"/>
          </w:tcPr>
          <w:p w14:paraId="5E970F64">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单项报价（元）</w:t>
            </w:r>
          </w:p>
        </w:tc>
        <w:tc>
          <w:tcPr>
            <w:tcW w:w="1567" w:type="dxa"/>
            <w:vAlign w:val="center"/>
          </w:tcPr>
          <w:p w14:paraId="64364DA9">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总价（元）</w:t>
            </w:r>
          </w:p>
        </w:tc>
      </w:tr>
      <w:tr w14:paraId="1CA3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950" w:type="dxa"/>
            <w:vAlign w:val="center"/>
          </w:tcPr>
          <w:p w14:paraId="5F0E9013">
            <w:pPr>
              <w:spacing w:line="360" w:lineRule="auto"/>
              <w:jc w:val="center"/>
              <w:outlineLvl w:val="0"/>
              <w:rPr>
                <w:rFonts w:hint="eastAsia" w:ascii="仿宋" w:hAnsi="仿宋" w:eastAsia="仿宋" w:cs="仿宋"/>
                <w:b/>
                <w:bCs/>
                <w:sz w:val="32"/>
                <w:szCs w:val="32"/>
                <w:highlight w:val="none"/>
              </w:rPr>
            </w:pPr>
            <w:r>
              <w:rPr>
                <w:rFonts w:hint="eastAsia" w:ascii="仿宋" w:hAnsi="仿宋" w:eastAsia="仿宋" w:cs="仿宋"/>
                <w:sz w:val="28"/>
                <w:szCs w:val="28"/>
                <w:highlight w:val="none"/>
              </w:rPr>
              <w:t>1</w:t>
            </w:r>
          </w:p>
        </w:tc>
        <w:tc>
          <w:tcPr>
            <w:tcW w:w="3783" w:type="dxa"/>
            <w:vAlign w:val="center"/>
          </w:tcPr>
          <w:p w14:paraId="4CBA0D9B">
            <w:pPr>
              <w:jc w:val="center"/>
              <w:rPr>
                <w:rFonts w:hint="eastAsia" w:ascii="仿宋" w:hAnsi="仿宋" w:eastAsia="仿宋" w:cs="仿宋"/>
                <w:b/>
                <w:bCs/>
                <w:sz w:val="32"/>
                <w:szCs w:val="32"/>
                <w:highlight w:val="none"/>
              </w:rPr>
            </w:pPr>
            <w:r>
              <w:rPr>
                <w:rFonts w:hint="eastAsia" w:ascii="仿宋" w:hAnsi="仿宋" w:eastAsia="仿宋" w:cs="仿宋"/>
                <w:sz w:val="28"/>
                <w:szCs w:val="28"/>
                <w:highlight w:val="none"/>
              </w:rPr>
              <w:t>火灾自动报警主机数据采集传输单元</w:t>
            </w:r>
          </w:p>
        </w:tc>
        <w:tc>
          <w:tcPr>
            <w:tcW w:w="967" w:type="dxa"/>
            <w:vAlign w:val="center"/>
          </w:tcPr>
          <w:p w14:paraId="18A8D1F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vAlign w:val="center"/>
          </w:tcPr>
          <w:p w14:paraId="1F8AF434">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w:t>
            </w:r>
          </w:p>
        </w:tc>
        <w:tc>
          <w:tcPr>
            <w:tcW w:w="1800" w:type="dxa"/>
            <w:vAlign w:val="center"/>
          </w:tcPr>
          <w:p w14:paraId="30C726B7">
            <w:pPr>
              <w:spacing w:line="360" w:lineRule="auto"/>
              <w:jc w:val="center"/>
              <w:outlineLvl w:val="0"/>
              <w:rPr>
                <w:rFonts w:hint="eastAsia" w:ascii="仿宋" w:hAnsi="仿宋" w:eastAsia="仿宋" w:cs="仿宋"/>
                <w:b/>
                <w:bCs/>
                <w:sz w:val="32"/>
                <w:szCs w:val="32"/>
                <w:highlight w:val="none"/>
              </w:rPr>
            </w:pPr>
          </w:p>
        </w:tc>
        <w:tc>
          <w:tcPr>
            <w:tcW w:w="1567" w:type="dxa"/>
          </w:tcPr>
          <w:p w14:paraId="6324FA51">
            <w:pPr>
              <w:spacing w:line="360" w:lineRule="auto"/>
              <w:outlineLvl w:val="0"/>
              <w:rPr>
                <w:rFonts w:hint="eastAsia" w:ascii="仿宋" w:hAnsi="仿宋" w:eastAsia="仿宋" w:cs="仿宋"/>
                <w:b/>
                <w:bCs/>
                <w:sz w:val="32"/>
                <w:szCs w:val="32"/>
                <w:highlight w:val="none"/>
              </w:rPr>
            </w:pPr>
          </w:p>
        </w:tc>
      </w:tr>
      <w:tr w14:paraId="68EE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1DA70AEB">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w:t>
            </w:r>
          </w:p>
        </w:tc>
        <w:tc>
          <w:tcPr>
            <w:tcW w:w="3783" w:type="dxa"/>
            <w:vAlign w:val="center"/>
          </w:tcPr>
          <w:p w14:paraId="2C5AA653">
            <w:pPr>
              <w:jc w:val="center"/>
              <w:rPr>
                <w:rFonts w:hint="eastAsia" w:ascii="仿宋" w:hAnsi="仿宋" w:eastAsia="仿宋" w:cs="仿宋"/>
                <w:sz w:val="28"/>
                <w:szCs w:val="28"/>
                <w:highlight w:val="none"/>
              </w:rPr>
            </w:pPr>
            <w:r>
              <w:rPr>
                <w:rFonts w:ascii="仿宋" w:hAnsi="仿宋" w:eastAsia="仿宋" w:cs="仿宋"/>
                <w:sz w:val="28"/>
                <w:szCs w:val="28"/>
                <w:highlight w:val="none"/>
              </w:rPr>
              <w:t>接口卡</w:t>
            </w:r>
          </w:p>
        </w:tc>
        <w:tc>
          <w:tcPr>
            <w:tcW w:w="967" w:type="dxa"/>
            <w:vAlign w:val="center"/>
          </w:tcPr>
          <w:p w14:paraId="2CAB8689">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块</w:t>
            </w:r>
          </w:p>
        </w:tc>
        <w:tc>
          <w:tcPr>
            <w:tcW w:w="916" w:type="dxa"/>
            <w:vAlign w:val="center"/>
          </w:tcPr>
          <w:p w14:paraId="4B54FB14">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163108C8">
            <w:pPr>
              <w:spacing w:line="360" w:lineRule="auto"/>
              <w:outlineLvl w:val="0"/>
              <w:rPr>
                <w:rFonts w:hint="eastAsia" w:ascii="仿宋" w:hAnsi="仿宋" w:eastAsia="仿宋" w:cs="仿宋"/>
                <w:b/>
                <w:bCs/>
                <w:sz w:val="32"/>
                <w:szCs w:val="32"/>
                <w:highlight w:val="none"/>
              </w:rPr>
            </w:pPr>
          </w:p>
        </w:tc>
        <w:tc>
          <w:tcPr>
            <w:tcW w:w="1567" w:type="dxa"/>
          </w:tcPr>
          <w:p w14:paraId="722AA450">
            <w:pPr>
              <w:spacing w:line="360" w:lineRule="auto"/>
              <w:outlineLvl w:val="0"/>
              <w:rPr>
                <w:rFonts w:hint="eastAsia" w:ascii="仿宋" w:hAnsi="仿宋" w:eastAsia="仿宋" w:cs="仿宋"/>
                <w:b/>
                <w:bCs/>
                <w:sz w:val="32"/>
                <w:szCs w:val="32"/>
                <w:highlight w:val="none"/>
              </w:rPr>
            </w:pPr>
          </w:p>
        </w:tc>
      </w:tr>
      <w:tr w14:paraId="0A18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57AE833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3</w:t>
            </w:r>
          </w:p>
        </w:tc>
        <w:tc>
          <w:tcPr>
            <w:tcW w:w="3783" w:type="dxa"/>
          </w:tcPr>
          <w:p w14:paraId="5CEBFAD7">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消防值班离岗监测单元</w:t>
            </w:r>
          </w:p>
        </w:tc>
        <w:tc>
          <w:tcPr>
            <w:tcW w:w="967" w:type="dxa"/>
          </w:tcPr>
          <w:p w14:paraId="6402F69A">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tcPr>
          <w:p w14:paraId="60BB4C6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0C6E2EA9">
            <w:pPr>
              <w:spacing w:line="360" w:lineRule="auto"/>
              <w:outlineLvl w:val="0"/>
              <w:rPr>
                <w:rFonts w:hint="eastAsia" w:ascii="仿宋" w:hAnsi="仿宋" w:eastAsia="仿宋" w:cs="仿宋"/>
                <w:b/>
                <w:bCs/>
                <w:sz w:val="32"/>
                <w:szCs w:val="32"/>
                <w:highlight w:val="none"/>
              </w:rPr>
            </w:pPr>
          </w:p>
        </w:tc>
        <w:tc>
          <w:tcPr>
            <w:tcW w:w="1567" w:type="dxa"/>
          </w:tcPr>
          <w:p w14:paraId="7A00C1D0">
            <w:pPr>
              <w:spacing w:line="360" w:lineRule="auto"/>
              <w:outlineLvl w:val="0"/>
              <w:rPr>
                <w:rFonts w:hint="eastAsia" w:ascii="仿宋" w:hAnsi="仿宋" w:eastAsia="仿宋" w:cs="仿宋"/>
                <w:b/>
                <w:bCs/>
                <w:sz w:val="32"/>
                <w:szCs w:val="32"/>
                <w:highlight w:val="none"/>
              </w:rPr>
            </w:pPr>
          </w:p>
        </w:tc>
      </w:tr>
      <w:tr w14:paraId="3A57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5F61C7BF">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4</w:t>
            </w:r>
          </w:p>
        </w:tc>
        <w:tc>
          <w:tcPr>
            <w:tcW w:w="3783" w:type="dxa"/>
          </w:tcPr>
          <w:p w14:paraId="4538D157">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热成像摄像机</w:t>
            </w:r>
          </w:p>
        </w:tc>
        <w:tc>
          <w:tcPr>
            <w:tcW w:w="967" w:type="dxa"/>
          </w:tcPr>
          <w:p w14:paraId="2FC3C01D">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tcPr>
          <w:p w14:paraId="03ADD348">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25</w:t>
            </w:r>
          </w:p>
        </w:tc>
        <w:tc>
          <w:tcPr>
            <w:tcW w:w="1800" w:type="dxa"/>
          </w:tcPr>
          <w:p w14:paraId="3E8F3438">
            <w:pPr>
              <w:spacing w:line="360" w:lineRule="auto"/>
              <w:outlineLvl w:val="0"/>
              <w:rPr>
                <w:rFonts w:hint="eastAsia" w:ascii="仿宋" w:hAnsi="仿宋" w:eastAsia="仿宋" w:cs="仿宋"/>
                <w:b/>
                <w:bCs/>
                <w:sz w:val="32"/>
                <w:szCs w:val="32"/>
                <w:highlight w:val="none"/>
              </w:rPr>
            </w:pPr>
          </w:p>
        </w:tc>
        <w:tc>
          <w:tcPr>
            <w:tcW w:w="1567" w:type="dxa"/>
          </w:tcPr>
          <w:p w14:paraId="16D311A0">
            <w:pPr>
              <w:spacing w:line="360" w:lineRule="auto"/>
              <w:outlineLvl w:val="0"/>
              <w:rPr>
                <w:rFonts w:hint="eastAsia" w:ascii="仿宋" w:hAnsi="仿宋" w:eastAsia="仿宋" w:cs="仿宋"/>
                <w:b/>
                <w:bCs/>
                <w:sz w:val="32"/>
                <w:szCs w:val="32"/>
                <w:highlight w:val="none"/>
              </w:rPr>
            </w:pPr>
          </w:p>
        </w:tc>
      </w:tr>
      <w:tr w14:paraId="6FC7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208CC756">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5</w:t>
            </w:r>
          </w:p>
        </w:tc>
        <w:tc>
          <w:tcPr>
            <w:tcW w:w="3783" w:type="dxa"/>
          </w:tcPr>
          <w:p w14:paraId="53C7E8C3">
            <w:pPr>
              <w:jc w:val="center"/>
              <w:rPr>
                <w:rFonts w:hint="eastAsia" w:ascii="仿宋" w:hAnsi="仿宋" w:eastAsia="仿宋" w:cs="仿宋"/>
                <w:sz w:val="28"/>
                <w:szCs w:val="28"/>
                <w:highlight w:val="none"/>
              </w:rPr>
            </w:pPr>
            <w:r>
              <w:rPr>
                <w:rFonts w:ascii="仿宋" w:hAnsi="仿宋" w:eastAsia="仿宋" w:cs="仿宋"/>
                <w:sz w:val="28"/>
                <w:szCs w:val="28"/>
                <w:highlight w:val="none"/>
              </w:rPr>
              <w:t>硬盘录像机</w:t>
            </w:r>
          </w:p>
        </w:tc>
        <w:tc>
          <w:tcPr>
            <w:tcW w:w="967" w:type="dxa"/>
          </w:tcPr>
          <w:p w14:paraId="3739555C">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tcPr>
          <w:p w14:paraId="2D8C8011">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0219D742">
            <w:pPr>
              <w:spacing w:line="360" w:lineRule="auto"/>
              <w:outlineLvl w:val="0"/>
              <w:rPr>
                <w:rFonts w:hint="eastAsia" w:ascii="仿宋" w:hAnsi="仿宋" w:eastAsia="仿宋" w:cs="仿宋"/>
                <w:b/>
                <w:bCs/>
                <w:sz w:val="32"/>
                <w:szCs w:val="32"/>
                <w:highlight w:val="none"/>
              </w:rPr>
            </w:pPr>
          </w:p>
        </w:tc>
        <w:tc>
          <w:tcPr>
            <w:tcW w:w="1567" w:type="dxa"/>
          </w:tcPr>
          <w:p w14:paraId="3463B29A">
            <w:pPr>
              <w:spacing w:line="360" w:lineRule="auto"/>
              <w:outlineLvl w:val="0"/>
              <w:rPr>
                <w:rFonts w:hint="eastAsia" w:ascii="仿宋" w:hAnsi="仿宋" w:eastAsia="仿宋" w:cs="仿宋"/>
                <w:b/>
                <w:bCs/>
                <w:sz w:val="32"/>
                <w:szCs w:val="32"/>
                <w:highlight w:val="none"/>
              </w:rPr>
            </w:pPr>
          </w:p>
        </w:tc>
      </w:tr>
      <w:tr w14:paraId="6956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710CA034">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6</w:t>
            </w:r>
          </w:p>
        </w:tc>
        <w:tc>
          <w:tcPr>
            <w:tcW w:w="3783" w:type="dxa"/>
          </w:tcPr>
          <w:p w14:paraId="0C6ACFF9">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硬盘</w:t>
            </w:r>
          </w:p>
        </w:tc>
        <w:tc>
          <w:tcPr>
            <w:tcW w:w="967" w:type="dxa"/>
            <w:vAlign w:val="center"/>
          </w:tcPr>
          <w:p w14:paraId="78B93847">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块</w:t>
            </w:r>
          </w:p>
        </w:tc>
        <w:tc>
          <w:tcPr>
            <w:tcW w:w="916" w:type="dxa"/>
            <w:vAlign w:val="center"/>
          </w:tcPr>
          <w:p w14:paraId="74B0FE2A">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4513938F">
            <w:pPr>
              <w:spacing w:line="360" w:lineRule="auto"/>
              <w:outlineLvl w:val="0"/>
              <w:rPr>
                <w:rFonts w:hint="eastAsia" w:ascii="仿宋" w:hAnsi="仿宋" w:eastAsia="仿宋" w:cs="仿宋"/>
                <w:b/>
                <w:bCs/>
                <w:sz w:val="32"/>
                <w:szCs w:val="32"/>
                <w:highlight w:val="none"/>
              </w:rPr>
            </w:pPr>
          </w:p>
        </w:tc>
        <w:tc>
          <w:tcPr>
            <w:tcW w:w="1567" w:type="dxa"/>
          </w:tcPr>
          <w:p w14:paraId="1B10A9FF">
            <w:pPr>
              <w:spacing w:line="360" w:lineRule="auto"/>
              <w:outlineLvl w:val="0"/>
              <w:rPr>
                <w:rFonts w:hint="eastAsia" w:ascii="仿宋" w:hAnsi="仿宋" w:eastAsia="仿宋" w:cs="仿宋"/>
                <w:b/>
                <w:bCs/>
                <w:sz w:val="32"/>
                <w:szCs w:val="32"/>
                <w:highlight w:val="none"/>
              </w:rPr>
            </w:pPr>
          </w:p>
        </w:tc>
      </w:tr>
      <w:tr w14:paraId="10FC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06908230">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7</w:t>
            </w:r>
          </w:p>
        </w:tc>
        <w:tc>
          <w:tcPr>
            <w:tcW w:w="3783" w:type="dxa"/>
          </w:tcPr>
          <w:p w14:paraId="70DF1F49">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交换机</w:t>
            </w:r>
          </w:p>
        </w:tc>
        <w:tc>
          <w:tcPr>
            <w:tcW w:w="967" w:type="dxa"/>
          </w:tcPr>
          <w:p w14:paraId="3AC02809">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tcPr>
          <w:p w14:paraId="78CCA620">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25</w:t>
            </w:r>
          </w:p>
        </w:tc>
        <w:tc>
          <w:tcPr>
            <w:tcW w:w="1800" w:type="dxa"/>
          </w:tcPr>
          <w:p w14:paraId="5E0E170E">
            <w:pPr>
              <w:spacing w:line="360" w:lineRule="auto"/>
              <w:outlineLvl w:val="0"/>
              <w:rPr>
                <w:rFonts w:hint="eastAsia" w:ascii="仿宋" w:hAnsi="仿宋" w:eastAsia="仿宋" w:cs="仿宋"/>
                <w:b/>
                <w:bCs/>
                <w:sz w:val="32"/>
                <w:szCs w:val="32"/>
                <w:highlight w:val="none"/>
              </w:rPr>
            </w:pPr>
          </w:p>
        </w:tc>
        <w:tc>
          <w:tcPr>
            <w:tcW w:w="1567" w:type="dxa"/>
          </w:tcPr>
          <w:p w14:paraId="5D97509F">
            <w:pPr>
              <w:spacing w:line="360" w:lineRule="auto"/>
              <w:outlineLvl w:val="0"/>
              <w:rPr>
                <w:rFonts w:hint="eastAsia" w:ascii="仿宋" w:hAnsi="仿宋" w:eastAsia="仿宋" w:cs="仿宋"/>
                <w:b/>
                <w:bCs/>
                <w:sz w:val="32"/>
                <w:szCs w:val="32"/>
                <w:highlight w:val="none"/>
              </w:rPr>
            </w:pPr>
          </w:p>
        </w:tc>
      </w:tr>
      <w:tr w14:paraId="78CF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5B1EACF0">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8</w:t>
            </w:r>
          </w:p>
        </w:tc>
        <w:tc>
          <w:tcPr>
            <w:tcW w:w="3783" w:type="dxa"/>
          </w:tcPr>
          <w:p w14:paraId="42DD61B5">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安防视频采集传输单元</w:t>
            </w:r>
          </w:p>
        </w:tc>
        <w:tc>
          <w:tcPr>
            <w:tcW w:w="967" w:type="dxa"/>
          </w:tcPr>
          <w:p w14:paraId="41FA3385">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tcPr>
          <w:p w14:paraId="36975C3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67B8ACB3">
            <w:pPr>
              <w:spacing w:line="360" w:lineRule="auto"/>
              <w:outlineLvl w:val="0"/>
              <w:rPr>
                <w:rFonts w:hint="eastAsia" w:ascii="仿宋" w:hAnsi="仿宋" w:eastAsia="仿宋" w:cs="仿宋"/>
                <w:b/>
                <w:bCs/>
                <w:sz w:val="32"/>
                <w:szCs w:val="32"/>
                <w:highlight w:val="none"/>
              </w:rPr>
            </w:pPr>
          </w:p>
        </w:tc>
        <w:tc>
          <w:tcPr>
            <w:tcW w:w="1567" w:type="dxa"/>
          </w:tcPr>
          <w:p w14:paraId="32C63442">
            <w:pPr>
              <w:spacing w:line="360" w:lineRule="auto"/>
              <w:outlineLvl w:val="0"/>
              <w:rPr>
                <w:rFonts w:hint="eastAsia" w:ascii="仿宋" w:hAnsi="仿宋" w:eastAsia="仿宋" w:cs="仿宋"/>
                <w:b/>
                <w:bCs/>
                <w:sz w:val="32"/>
                <w:szCs w:val="32"/>
                <w:highlight w:val="none"/>
              </w:rPr>
            </w:pPr>
          </w:p>
        </w:tc>
      </w:tr>
      <w:tr w14:paraId="65E8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4D07688F">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9</w:t>
            </w:r>
          </w:p>
        </w:tc>
        <w:tc>
          <w:tcPr>
            <w:tcW w:w="3783" w:type="dxa"/>
          </w:tcPr>
          <w:p w14:paraId="304316D5">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无线液位采集传输单元</w:t>
            </w:r>
          </w:p>
        </w:tc>
        <w:tc>
          <w:tcPr>
            <w:tcW w:w="967" w:type="dxa"/>
          </w:tcPr>
          <w:p w14:paraId="18CFBDE7">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tcPr>
          <w:p w14:paraId="74B4F63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w:t>
            </w:r>
          </w:p>
        </w:tc>
        <w:tc>
          <w:tcPr>
            <w:tcW w:w="1800" w:type="dxa"/>
          </w:tcPr>
          <w:p w14:paraId="5D55CD9B">
            <w:pPr>
              <w:spacing w:line="360" w:lineRule="auto"/>
              <w:outlineLvl w:val="0"/>
              <w:rPr>
                <w:rFonts w:hint="eastAsia" w:ascii="仿宋" w:hAnsi="仿宋" w:eastAsia="仿宋" w:cs="仿宋"/>
                <w:b/>
                <w:bCs/>
                <w:sz w:val="32"/>
                <w:szCs w:val="32"/>
                <w:highlight w:val="none"/>
              </w:rPr>
            </w:pPr>
          </w:p>
        </w:tc>
        <w:tc>
          <w:tcPr>
            <w:tcW w:w="1567" w:type="dxa"/>
          </w:tcPr>
          <w:p w14:paraId="3FBD8D73">
            <w:pPr>
              <w:spacing w:line="360" w:lineRule="auto"/>
              <w:outlineLvl w:val="0"/>
              <w:rPr>
                <w:rFonts w:hint="eastAsia" w:ascii="仿宋" w:hAnsi="仿宋" w:eastAsia="仿宋" w:cs="仿宋"/>
                <w:b/>
                <w:bCs/>
                <w:sz w:val="32"/>
                <w:szCs w:val="32"/>
                <w:highlight w:val="none"/>
              </w:rPr>
            </w:pPr>
          </w:p>
        </w:tc>
      </w:tr>
      <w:tr w14:paraId="0102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19511546">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10</w:t>
            </w:r>
          </w:p>
        </w:tc>
        <w:tc>
          <w:tcPr>
            <w:tcW w:w="3783" w:type="dxa"/>
          </w:tcPr>
          <w:p w14:paraId="56A9EE27">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无线压力采集传输单元</w:t>
            </w:r>
          </w:p>
        </w:tc>
        <w:tc>
          <w:tcPr>
            <w:tcW w:w="967" w:type="dxa"/>
          </w:tcPr>
          <w:p w14:paraId="5022323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916" w:type="dxa"/>
          </w:tcPr>
          <w:p w14:paraId="4AEC94CF">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31</w:t>
            </w:r>
          </w:p>
        </w:tc>
        <w:tc>
          <w:tcPr>
            <w:tcW w:w="1800" w:type="dxa"/>
          </w:tcPr>
          <w:p w14:paraId="7115B192">
            <w:pPr>
              <w:spacing w:line="360" w:lineRule="auto"/>
              <w:outlineLvl w:val="0"/>
              <w:rPr>
                <w:rFonts w:hint="eastAsia" w:ascii="仿宋" w:hAnsi="仿宋" w:eastAsia="仿宋" w:cs="仿宋"/>
                <w:b/>
                <w:bCs/>
                <w:sz w:val="32"/>
                <w:szCs w:val="32"/>
                <w:highlight w:val="none"/>
              </w:rPr>
            </w:pPr>
          </w:p>
        </w:tc>
        <w:tc>
          <w:tcPr>
            <w:tcW w:w="1567" w:type="dxa"/>
          </w:tcPr>
          <w:p w14:paraId="684A2F37">
            <w:pPr>
              <w:spacing w:line="360" w:lineRule="auto"/>
              <w:outlineLvl w:val="0"/>
              <w:rPr>
                <w:rFonts w:hint="eastAsia" w:ascii="仿宋" w:hAnsi="仿宋" w:eastAsia="仿宋" w:cs="仿宋"/>
                <w:b/>
                <w:bCs/>
                <w:sz w:val="32"/>
                <w:szCs w:val="32"/>
                <w:highlight w:val="none"/>
              </w:rPr>
            </w:pPr>
          </w:p>
        </w:tc>
      </w:tr>
      <w:tr w14:paraId="0BB1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42A6BD30">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11</w:t>
            </w:r>
          </w:p>
        </w:tc>
        <w:tc>
          <w:tcPr>
            <w:tcW w:w="3783" w:type="dxa"/>
          </w:tcPr>
          <w:p w14:paraId="11B4B57B">
            <w:pPr>
              <w:jc w:val="center"/>
              <w:rPr>
                <w:rFonts w:hint="eastAsia" w:ascii="仿宋" w:hAnsi="仿宋" w:eastAsia="仿宋" w:cs="仿宋"/>
                <w:sz w:val="28"/>
                <w:szCs w:val="28"/>
                <w:highlight w:val="none"/>
              </w:rPr>
            </w:pPr>
            <w:r>
              <w:rPr>
                <w:rFonts w:ascii="仿宋" w:hAnsi="仿宋" w:eastAsia="仿宋" w:cs="仿宋"/>
                <w:sz w:val="28"/>
                <w:szCs w:val="28"/>
                <w:highlight w:val="none"/>
              </w:rPr>
              <w:t>独立</w:t>
            </w:r>
            <w:r>
              <w:rPr>
                <w:rFonts w:hint="eastAsia" w:ascii="仿宋" w:hAnsi="仿宋" w:eastAsia="仿宋" w:cs="仿宋"/>
                <w:sz w:val="28"/>
                <w:szCs w:val="28"/>
                <w:highlight w:val="none"/>
              </w:rPr>
              <w:t>式</w:t>
            </w:r>
            <w:r>
              <w:rPr>
                <w:rFonts w:ascii="仿宋" w:hAnsi="仿宋" w:eastAsia="仿宋" w:cs="仿宋"/>
                <w:sz w:val="28"/>
                <w:szCs w:val="28"/>
                <w:highlight w:val="none"/>
              </w:rPr>
              <w:t>感烟火灾探测器</w:t>
            </w:r>
          </w:p>
        </w:tc>
        <w:tc>
          <w:tcPr>
            <w:tcW w:w="967" w:type="dxa"/>
          </w:tcPr>
          <w:p w14:paraId="5CA2D765">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只</w:t>
            </w:r>
          </w:p>
        </w:tc>
        <w:tc>
          <w:tcPr>
            <w:tcW w:w="916" w:type="dxa"/>
          </w:tcPr>
          <w:p w14:paraId="6E2E21DE">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50</w:t>
            </w:r>
          </w:p>
        </w:tc>
        <w:tc>
          <w:tcPr>
            <w:tcW w:w="1800" w:type="dxa"/>
          </w:tcPr>
          <w:p w14:paraId="7AD63C3A">
            <w:pPr>
              <w:spacing w:line="360" w:lineRule="auto"/>
              <w:outlineLvl w:val="0"/>
              <w:rPr>
                <w:rFonts w:hint="eastAsia" w:ascii="仿宋" w:hAnsi="仿宋" w:eastAsia="仿宋" w:cs="仿宋"/>
                <w:b/>
                <w:bCs/>
                <w:sz w:val="32"/>
                <w:szCs w:val="32"/>
                <w:highlight w:val="none"/>
              </w:rPr>
            </w:pPr>
          </w:p>
        </w:tc>
        <w:tc>
          <w:tcPr>
            <w:tcW w:w="1567" w:type="dxa"/>
          </w:tcPr>
          <w:p w14:paraId="07D18392">
            <w:pPr>
              <w:spacing w:line="360" w:lineRule="auto"/>
              <w:outlineLvl w:val="0"/>
              <w:rPr>
                <w:rFonts w:hint="eastAsia" w:ascii="仿宋" w:hAnsi="仿宋" w:eastAsia="仿宋" w:cs="仿宋"/>
                <w:b/>
                <w:bCs/>
                <w:sz w:val="32"/>
                <w:szCs w:val="32"/>
                <w:highlight w:val="none"/>
              </w:rPr>
            </w:pPr>
          </w:p>
        </w:tc>
      </w:tr>
      <w:tr w14:paraId="641C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4C0C022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12</w:t>
            </w:r>
          </w:p>
        </w:tc>
        <w:tc>
          <w:tcPr>
            <w:tcW w:w="3783" w:type="dxa"/>
          </w:tcPr>
          <w:p w14:paraId="03BAA574">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智慧消防云平台</w:t>
            </w:r>
          </w:p>
        </w:tc>
        <w:tc>
          <w:tcPr>
            <w:tcW w:w="967" w:type="dxa"/>
          </w:tcPr>
          <w:p w14:paraId="2A69FC94">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年</w:t>
            </w:r>
          </w:p>
        </w:tc>
        <w:tc>
          <w:tcPr>
            <w:tcW w:w="916" w:type="dxa"/>
          </w:tcPr>
          <w:p w14:paraId="3F0B7E66">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36FCF795">
            <w:pPr>
              <w:spacing w:line="360" w:lineRule="auto"/>
              <w:outlineLvl w:val="0"/>
              <w:rPr>
                <w:rFonts w:hint="eastAsia" w:ascii="仿宋" w:hAnsi="仿宋" w:eastAsia="仿宋" w:cs="仿宋"/>
                <w:b/>
                <w:bCs/>
                <w:sz w:val="32"/>
                <w:szCs w:val="32"/>
                <w:highlight w:val="none"/>
              </w:rPr>
            </w:pPr>
          </w:p>
        </w:tc>
        <w:tc>
          <w:tcPr>
            <w:tcW w:w="1567" w:type="dxa"/>
          </w:tcPr>
          <w:p w14:paraId="21B2D184">
            <w:pPr>
              <w:spacing w:line="360" w:lineRule="auto"/>
              <w:outlineLvl w:val="0"/>
              <w:rPr>
                <w:rFonts w:hint="eastAsia" w:ascii="仿宋" w:hAnsi="仿宋" w:eastAsia="仿宋" w:cs="仿宋"/>
                <w:b/>
                <w:bCs/>
                <w:sz w:val="32"/>
                <w:szCs w:val="32"/>
                <w:highlight w:val="none"/>
              </w:rPr>
            </w:pPr>
          </w:p>
        </w:tc>
      </w:tr>
      <w:tr w14:paraId="0ABB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251957BD">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13</w:t>
            </w:r>
          </w:p>
        </w:tc>
        <w:tc>
          <w:tcPr>
            <w:tcW w:w="3783" w:type="dxa"/>
          </w:tcPr>
          <w:p w14:paraId="5847AA20">
            <w:pPr>
              <w:jc w:val="center"/>
              <w:rPr>
                <w:rFonts w:hint="eastAsia" w:ascii="仿宋" w:hAnsi="仿宋" w:eastAsia="仿宋" w:cs="仿宋"/>
                <w:sz w:val="28"/>
                <w:szCs w:val="28"/>
                <w:highlight w:val="none"/>
              </w:rPr>
            </w:pPr>
            <w:r>
              <w:rPr>
                <w:rFonts w:ascii="仿宋" w:hAnsi="仿宋" w:eastAsia="仿宋" w:cs="仿宋"/>
                <w:sz w:val="28"/>
                <w:szCs w:val="28"/>
                <w:highlight w:val="none"/>
              </w:rPr>
              <w:t>二维码</w:t>
            </w:r>
          </w:p>
        </w:tc>
        <w:tc>
          <w:tcPr>
            <w:tcW w:w="967" w:type="dxa"/>
          </w:tcPr>
          <w:p w14:paraId="50567DDE">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张</w:t>
            </w:r>
          </w:p>
        </w:tc>
        <w:tc>
          <w:tcPr>
            <w:tcW w:w="916" w:type="dxa"/>
          </w:tcPr>
          <w:p w14:paraId="21278B3C">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00</w:t>
            </w:r>
          </w:p>
        </w:tc>
        <w:tc>
          <w:tcPr>
            <w:tcW w:w="1800" w:type="dxa"/>
          </w:tcPr>
          <w:p w14:paraId="0515519F">
            <w:pPr>
              <w:spacing w:line="360" w:lineRule="auto"/>
              <w:outlineLvl w:val="0"/>
              <w:rPr>
                <w:rFonts w:hint="eastAsia" w:ascii="仿宋" w:hAnsi="仿宋" w:eastAsia="仿宋" w:cs="仿宋"/>
                <w:b/>
                <w:bCs/>
                <w:sz w:val="32"/>
                <w:szCs w:val="32"/>
                <w:highlight w:val="none"/>
              </w:rPr>
            </w:pPr>
          </w:p>
        </w:tc>
        <w:tc>
          <w:tcPr>
            <w:tcW w:w="1567" w:type="dxa"/>
          </w:tcPr>
          <w:p w14:paraId="1DE8E58E">
            <w:pPr>
              <w:spacing w:line="360" w:lineRule="auto"/>
              <w:outlineLvl w:val="0"/>
              <w:rPr>
                <w:rFonts w:hint="eastAsia" w:ascii="仿宋" w:hAnsi="仿宋" w:eastAsia="仿宋" w:cs="仿宋"/>
                <w:b/>
                <w:bCs/>
                <w:sz w:val="32"/>
                <w:szCs w:val="32"/>
                <w:highlight w:val="none"/>
              </w:rPr>
            </w:pPr>
          </w:p>
        </w:tc>
      </w:tr>
      <w:tr w14:paraId="50C3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363D17D1">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14</w:t>
            </w:r>
          </w:p>
        </w:tc>
        <w:tc>
          <w:tcPr>
            <w:tcW w:w="3783" w:type="dxa"/>
            <w:vAlign w:val="center"/>
          </w:tcPr>
          <w:p w14:paraId="60C778FA">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辅材</w:t>
            </w:r>
          </w:p>
        </w:tc>
        <w:tc>
          <w:tcPr>
            <w:tcW w:w="967" w:type="dxa"/>
          </w:tcPr>
          <w:p w14:paraId="5F78F6AB">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w:t>
            </w:r>
          </w:p>
        </w:tc>
        <w:tc>
          <w:tcPr>
            <w:tcW w:w="916" w:type="dxa"/>
          </w:tcPr>
          <w:p w14:paraId="3E9BF4E2">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000E5820">
            <w:pPr>
              <w:spacing w:line="360" w:lineRule="auto"/>
              <w:outlineLvl w:val="0"/>
              <w:rPr>
                <w:rFonts w:hint="eastAsia" w:ascii="仿宋" w:hAnsi="仿宋" w:eastAsia="仿宋" w:cs="仿宋"/>
                <w:b/>
                <w:bCs/>
                <w:sz w:val="32"/>
                <w:szCs w:val="32"/>
                <w:highlight w:val="none"/>
              </w:rPr>
            </w:pPr>
          </w:p>
        </w:tc>
        <w:tc>
          <w:tcPr>
            <w:tcW w:w="1567" w:type="dxa"/>
          </w:tcPr>
          <w:p w14:paraId="415764D2">
            <w:pPr>
              <w:spacing w:line="360" w:lineRule="auto"/>
              <w:outlineLvl w:val="0"/>
              <w:rPr>
                <w:rFonts w:hint="eastAsia" w:ascii="仿宋" w:hAnsi="仿宋" w:eastAsia="仿宋" w:cs="仿宋"/>
                <w:b/>
                <w:bCs/>
                <w:sz w:val="32"/>
                <w:szCs w:val="32"/>
                <w:highlight w:val="none"/>
              </w:rPr>
            </w:pPr>
          </w:p>
        </w:tc>
      </w:tr>
      <w:tr w14:paraId="360E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79B8629A">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15</w:t>
            </w:r>
          </w:p>
        </w:tc>
        <w:tc>
          <w:tcPr>
            <w:tcW w:w="3783" w:type="dxa"/>
            <w:vAlign w:val="center"/>
          </w:tcPr>
          <w:p w14:paraId="31AB9619">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安装费</w:t>
            </w:r>
          </w:p>
        </w:tc>
        <w:tc>
          <w:tcPr>
            <w:tcW w:w="967" w:type="dxa"/>
          </w:tcPr>
          <w:p w14:paraId="1EAA0324">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w:t>
            </w:r>
          </w:p>
        </w:tc>
        <w:tc>
          <w:tcPr>
            <w:tcW w:w="916" w:type="dxa"/>
          </w:tcPr>
          <w:p w14:paraId="7B474F8C">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800" w:type="dxa"/>
          </w:tcPr>
          <w:p w14:paraId="79C39508">
            <w:pPr>
              <w:spacing w:line="360" w:lineRule="auto"/>
              <w:outlineLvl w:val="0"/>
              <w:rPr>
                <w:rFonts w:hint="eastAsia" w:ascii="仿宋" w:hAnsi="仿宋" w:eastAsia="仿宋" w:cs="仿宋"/>
                <w:b/>
                <w:bCs/>
                <w:sz w:val="32"/>
                <w:szCs w:val="32"/>
                <w:highlight w:val="none"/>
              </w:rPr>
            </w:pPr>
          </w:p>
        </w:tc>
        <w:tc>
          <w:tcPr>
            <w:tcW w:w="1567" w:type="dxa"/>
          </w:tcPr>
          <w:p w14:paraId="5F3958C1">
            <w:pPr>
              <w:spacing w:line="360" w:lineRule="auto"/>
              <w:outlineLvl w:val="0"/>
              <w:rPr>
                <w:rFonts w:hint="eastAsia" w:ascii="仿宋" w:hAnsi="仿宋" w:eastAsia="仿宋" w:cs="仿宋"/>
                <w:b/>
                <w:bCs/>
                <w:sz w:val="32"/>
                <w:szCs w:val="32"/>
                <w:highlight w:val="none"/>
              </w:rPr>
            </w:pPr>
          </w:p>
        </w:tc>
      </w:tr>
      <w:tr w14:paraId="59D7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9983" w:type="dxa"/>
            <w:gridSpan w:val="6"/>
            <w:vAlign w:val="center"/>
          </w:tcPr>
          <w:p w14:paraId="6EE4C7F3">
            <w:pPr>
              <w:spacing w:line="360" w:lineRule="auto"/>
              <w:jc w:val="both"/>
              <w:outlineLvl w:val="0"/>
              <w:rPr>
                <w:rFonts w:hint="eastAsia" w:ascii="仿宋" w:hAnsi="仿宋" w:eastAsia="仿宋" w:cs="仿宋"/>
                <w:b/>
                <w:bCs/>
                <w:sz w:val="32"/>
                <w:szCs w:val="32"/>
                <w:highlight w:val="none"/>
                <w:u w:val="none"/>
                <w:lang w:eastAsia="zh-CN"/>
              </w:rPr>
            </w:pPr>
            <w:r>
              <w:rPr>
                <w:rFonts w:hint="eastAsia" w:ascii="仿宋" w:hAnsi="仿宋" w:eastAsia="仿宋" w:cs="仿宋"/>
                <w:b/>
                <w:bCs/>
                <w:sz w:val="24"/>
                <w:szCs w:val="24"/>
                <w:highlight w:val="none"/>
              </w:rPr>
              <w:t>合计大写总价：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（元）</w:t>
            </w:r>
            <w:r>
              <w:rPr>
                <w:rFonts w:hint="eastAsia" w:ascii="仿宋" w:hAnsi="仿宋" w:eastAsia="仿宋" w:cs="仿宋"/>
                <w:b/>
                <w:bCs/>
                <w:sz w:val="24"/>
                <w:szCs w:val="24"/>
                <w:highlight w:val="none"/>
                <w:u w:val="none"/>
                <w:lang w:val="en-US" w:eastAsia="zh-CN"/>
              </w:rPr>
              <w:t xml:space="preserve">      </w:t>
            </w:r>
            <w:r>
              <w:rPr>
                <w:rFonts w:hint="eastAsia" w:ascii="仿宋" w:hAnsi="仿宋" w:eastAsia="仿宋" w:cs="仿宋"/>
                <w:b/>
                <w:bCs/>
                <w:sz w:val="24"/>
                <w:szCs w:val="24"/>
                <w:highlight w:val="none"/>
              </w:rPr>
              <w:t>合计</w:t>
            </w:r>
            <w:r>
              <w:rPr>
                <w:rFonts w:hint="eastAsia" w:ascii="仿宋" w:hAnsi="仿宋" w:eastAsia="仿宋" w:cs="仿宋"/>
                <w:b/>
                <w:bCs/>
                <w:sz w:val="24"/>
                <w:szCs w:val="24"/>
                <w:highlight w:val="none"/>
                <w:lang w:val="en-US" w:eastAsia="zh-CN"/>
              </w:rPr>
              <w:t>小</w:t>
            </w:r>
            <w:bookmarkStart w:id="2" w:name="_GoBack"/>
            <w:bookmarkEnd w:id="2"/>
            <w:r>
              <w:rPr>
                <w:rFonts w:hint="eastAsia" w:ascii="仿宋" w:hAnsi="仿宋" w:eastAsia="仿宋" w:cs="仿宋"/>
                <w:b/>
                <w:bCs/>
                <w:sz w:val="24"/>
                <w:szCs w:val="24"/>
                <w:highlight w:val="none"/>
              </w:rPr>
              <w:t>写总价：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万</w:t>
            </w:r>
            <w:r>
              <w:rPr>
                <w:rFonts w:hint="eastAsia" w:ascii="仿宋" w:hAnsi="仿宋" w:eastAsia="仿宋" w:cs="仿宋"/>
                <w:b/>
                <w:bCs/>
                <w:sz w:val="24"/>
                <w:szCs w:val="24"/>
                <w:highlight w:val="none"/>
              </w:rPr>
              <w:t>元）</w:t>
            </w:r>
          </w:p>
        </w:tc>
      </w:tr>
    </w:tbl>
    <w:p w14:paraId="3EB9B6B7">
      <w:pPr>
        <w:rPr>
          <w:rFonts w:hint="eastAsia" w:ascii="仿宋" w:hAnsi="仿宋" w:eastAsia="仿宋"/>
          <w:sz w:val="28"/>
          <w:szCs w:val="28"/>
          <w:highlight w:val="none"/>
        </w:rPr>
      </w:pPr>
    </w:p>
    <w:p w14:paraId="75A34E5D">
      <w:pPr>
        <w:jc w:val="left"/>
        <w:rPr>
          <w:highlight w:val="none"/>
        </w:rPr>
      </w:pPr>
      <w:r>
        <w:rPr>
          <w:rFonts w:hint="eastAsia" w:ascii="仿宋" w:hAnsi="仿宋" w:eastAsia="仿宋"/>
          <w:sz w:val="28"/>
          <w:szCs w:val="28"/>
          <w:highlight w:val="none"/>
        </w:rPr>
        <w:t>备注：1、</w:t>
      </w:r>
      <w:r>
        <w:rPr>
          <w:rFonts w:hint="eastAsia" w:ascii="仿宋" w:hAnsi="仿宋" w:eastAsia="仿宋" w:cs="仿宋"/>
          <w:sz w:val="28"/>
          <w:szCs w:val="28"/>
          <w:highlight w:val="none"/>
        </w:rPr>
        <w:t>按分包整体报价不可漏报、否则视为无效报价；2、</w:t>
      </w:r>
      <w:r>
        <w:rPr>
          <w:rFonts w:hint="eastAsia" w:ascii="仿宋" w:hAnsi="仿宋" w:eastAsia="仿宋"/>
          <w:sz w:val="28"/>
          <w:szCs w:val="28"/>
          <w:highlight w:val="none"/>
        </w:rPr>
        <w:t>报价表如有列举项目不全的，各报价公司可以在原表上添项，不能改变原表格内容。报价合计总价在列表末汇总，最多保留小数点后两位，此报价单须盖公章单独密封。</w:t>
      </w:r>
    </w:p>
    <w:p w14:paraId="4711221D">
      <w:pPr>
        <w:spacing w:line="360" w:lineRule="auto"/>
        <w:outlineLvl w:val="1"/>
        <w:rPr>
          <w:rFonts w:hint="eastAsia" w:ascii="仿宋" w:hAnsi="仿宋" w:eastAsia="仿宋" w:cs="仿宋"/>
          <w:b/>
          <w:bCs/>
          <w:sz w:val="32"/>
          <w:szCs w:val="32"/>
          <w:highlight w:val="none"/>
        </w:rPr>
      </w:pPr>
    </w:p>
    <w:p w14:paraId="034CA4F7">
      <w:pPr>
        <w:spacing w:line="360" w:lineRule="auto"/>
        <w:outlineLvl w:val="1"/>
        <w:rPr>
          <w:rFonts w:hint="eastAsia" w:ascii="仿宋" w:hAnsi="仿宋" w:eastAsia="仿宋" w:cs="仿宋"/>
          <w:b/>
          <w:bCs/>
          <w:sz w:val="32"/>
          <w:szCs w:val="32"/>
          <w:highlight w:val="none"/>
        </w:rPr>
      </w:pPr>
    </w:p>
    <w:p w14:paraId="3E0F6588">
      <w:pPr>
        <w:spacing w:line="360" w:lineRule="auto"/>
        <w:outlineLvl w:val="1"/>
        <w:rPr>
          <w:rFonts w:hint="eastAsia" w:ascii="仿宋" w:hAnsi="仿宋" w:eastAsia="仿宋" w:cs="仿宋"/>
          <w:b/>
          <w:bCs/>
          <w:sz w:val="32"/>
          <w:szCs w:val="32"/>
          <w:highlight w:val="none"/>
        </w:rPr>
      </w:pPr>
    </w:p>
    <w:p w14:paraId="64F9FD31">
      <w:pPr>
        <w:spacing w:line="360" w:lineRule="auto"/>
        <w:outlineLvl w:val="1"/>
        <w:rPr>
          <w:rFonts w:hint="eastAsia" w:ascii="仿宋" w:hAnsi="仿宋" w:eastAsia="仿宋" w:cs="仿宋"/>
          <w:b/>
          <w:bCs/>
          <w:sz w:val="32"/>
          <w:szCs w:val="32"/>
          <w:highlight w:val="none"/>
        </w:rPr>
      </w:pPr>
    </w:p>
    <w:p w14:paraId="0C2416D1">
      <w:pPr>
        <w:spacing w:line="360" w:lineRule="auto"/>
        <w:outlineLvl w:val="1"/>
        <w:rPr>
          <w:rFonts w:hint="eastAsia" w:ascii="仿宋" w:hAnsi="仿宋" w:eastAsia="仿宋" w:cs="仿宋"/>
          <w:b/>
          <w:bCs/>
          <w:sz w:val="32"/>
          <w:szCs w:val="32"/>
          <w:highlight w:val="none"/>
        </w:rPr>
      </w:pPr>
    </w:p>
    <w:p w14:paraId="341F810E">
      <w:pPr>
        <w:spacing w:line="360" w:lineRule="auto"/>
        <w:outlineLvl w:val="1"/>
        <w:rPr>
          <w:rFonts w:hint="eastAsia" w:ascii="仿宋" w:hAnsi="仿宋" w:eastAsia="仿宋" w:cs="仿宋"/>
          <w:b/>
          <w:bCs/>
          <w:sz w:val="32"/>
          <w:szCs w:val="32"/>
          <w:highlight w:val="none"/>
        </w:rPr>
      </w:pPr>
    </w:p>
    <w:p w14:paraId="523B0334">
      <w:pPr>
        <w:spacing w:line="360" w:lineRule="auto"/>
        <w:outlineLvl w:val="1"/>
        <w:rPr>
          <w:rFonts w:hint="eastAsia" w:ascii="仿宋" w:hAnsi="仿宋" w:eastAsia="仿宋" w:cs="仿宋"/>
          <w:b/>
          <w:bCs/>
          <w:sz w:val="32"/>
          <w:szCs w:val="32"/>
          <w:highlight w:val="none"/>
        </w:rPr>
      </w:pPr>
    </w:p>
    <w:p w14:paraId="7F74DC1D">
      <w:pPr>
        <w:spacing w:line="360" w:lineRule="auto"/>
        <w:outlineLvl w:val="1"/>
        <w:rPr>
          <w:rFonts w:hint="eastAsia" w:ascii="仿宋" w:hAnsi="仿宋" w:eastAsia="仿宋" w:cs="仿宋"/>
          <w:b/>
          <w:bCs/>
          <w:sz w:val="32"/>
          <w:szCs w:val="32"/>
          <w:highlight w:val="none"/>
        </w:rPr>
      </w:pPr>
    </w:p>
    <w:p w14:paraId="4E00772F">
      <w:pPr>
        <w:spacing w:line="360" w:lineRule="auto"/>
        <w:outlineLvl w:val="1"/>
        <w:rPr>
          <w:rFonts w:hint="eastAsia" w:ascii="仿宋" w:hAnsi="仿宋" w:eastAsia="仿宋" w:cs="仿宋"/>
          <w:b/>
          <w:bCs/>
          <w:sz w:val="32"/>
          <w:szCs w:val="32"/>
          <w:highlight w:val="none"/>
        </w:rPr>
      </w:pPr>
    </w:p>
    <w:p w14:paraId="48B6A45B">
      <w:pPr>
        <w:spacing w:line="360" w:lineRule="auto"/>
        <w:outlineLvl w:val="1"/>
        <w:rPr>
          <w:rFonts w:hint="eastAsia" w:ascii="仿宋" w:hAnsi="仿宋" w:eastAsia="仿宋" w:cs="仿宋"/>
          <w:b/>
          <w:bCs/>
          <w:sz w:val="32"/>
          <w:szCs w:val="32"/>
          <w:highlight w:val="none"/>
        </w:rPr>
      </w:pPr>
    </w:p>
    <w:p w14:paraId="01C534B7">
      <w:pPr>
        <w:spacing w:line="360" w:lineRule="auto"/>
        <w:outlineLvl w:val="1"/>
        <w:rPr>
          <w:rFonts w:hint="eastAsia" w:ascii="仿宋" w:hAnsi="仿宋" w:eastAsia="仿宋" w:cs="仿宋"/>
          <w:b/>
          <w:bCs/>
          <w:sz w:val="32"/>
          <w:szCs w:val="32"/>
          <w:highlight w:val="none"/>
        </w:rPr>
      </w:pPr>
    </w:p>
    <w:p w14:paraId="7853D56A">
      <w:pPr>
        <w:spacing w:line="360" w:lineRule="auto"/>
        <w:outlineLvl w:val="1"/>
        <w:rPr>
          <w:rFonts w:hint="eastAsia" w:ascii="仿宋" w:hAnsi="仿宋" w:eastAsia="仿宋" w:cs="仿宋"/>
          <w:b/>
          <w:bCs/>
          <w:sz w:val="32"/>
          <w:szCs w:val="32"/>
          <w:highlight w:val="none"/>
        </w:rPr>
      </w:pPr>
    </w:p>
    <w:p w14:paraId="7BBD988C">
      <w:pPr>
        <w:spacing w:line="360" w:lineRule="auto"/>
        <w:outlineLvl w:val="1"/>
        <w:rPr>
          <w:rFonts w:hint="eastAsia" w:ascii="仿宋" w:hAnsi="仿宋" w:eastAsia="仿宋" w:cs="仿宋"/>
          <w:b/>
          <w:bCs/>
          <w:sz w:val="32"/>
          <w:szCs w:val="32"/>
          <w:highlight w:val="none"/>
        </w:rPr>
      </w:pPr>
    </w:p>
    <w:p w14:paraId="52706300">
      <w:pPr>
        <w:spacing w:line="360" w:lineRule="auto"/>
        <w:outlineLvl w:val="1"/>
        <w:rPr>
          <w:rFonts w:hint="eastAsia" w:ascii="仿宋" w:hAnsi="仿宋" w:eastAsia="仿宋" w:cs="仿宋"/>
          <w:b/>
          <w:bCs/>
          <w:sz w:val="32"/>
          <w:szCs w:val="32"/>
          <w:highlight w:val="none"/>
        </w:rPr>
      </w:pPr>
    </w:p>
    <w:p w14:paraId="787FF1B9">
      <w:pPr>
        <w:spacing w:line="360" w:lineRule="auto"/>
        <w:outlineLvl w:val="1"/>
        <w:rPr>
          <w:rFonts w:hint="eastAsia" w:ascii="仿宋" w:hAnsi="仿宋" w:eastAsia="仿宋" w:cs="仿宋"/>
          <w:b/>
          <w:bCs/>
          <w:sz w:val="32"/>
          <w:szCs w:val="32"/>
          <w:highlight w:val="none"/>
        </w:rPr>
      </w:pPr>
    </w:p>
    <w:p w14:paraId="1502355B">
      <w:pPr>
        <w:spacing w:line="360" w:lineRule="auto"/>
        <w:outlineLvl w:val="1"/>
        <w:rPr>
          <w:highlight w:val="none"/>
        </w:rPr>
      </w:pPr>
      <w:r>
        <w:rPr>
          <w:rFonts w:hint="eastAsia" w:ascii="仿宋" w:hAnsi="仿宋" w:eastAsia="仿宋" w:cs="仿宋"/>
          <w:b/>
          <w:bCs/>
          <w:sz w:val="32"/>
          <w:szCs w:val="32"/>
          <w:highlight w:val="none"/>
        </w:rPr>
        <w:t>附件3 ：报名登记表</w:t>
      </w:r>
    </w:p>
    <w:p w14:paraId="10C5A95F">
      <w:pPr>
        <w:jc w:val="center"/>
        <w:rPr>
          <w:rFonts w:hint="eastAsia" w:ascii="华文中宋" w:hAnsi="华文中宋" w:eastAsia="华文中宋"/>
          <w:b/>
          <w:sz w:val="36"/>
          <w:szCs w:val="36"/>
          <w:highlight w:val="none"/>
        </w:rPr>
      </w:pPr>
      <w:r>
        <w:rPr>
          <w:rFonts w:hint="eastAsia" w:ascii="华文中宋" w:hAnsi="华文中宋" w:eastAsia="华文中宋"/>
          <w:b/>
          <w:sz w:val="36"/>
          <w:szCs w:val="36"/>
          <w:highlight w:val="none"/>
        </w:rPr>
        <w:t>报名登记表</w:t>
      </w:r>
    </w:p>
    <w:p w14:paraId="09FF55AA">
      <w:pPr>
        <w:rPr>
          <w:highlight w:val="none"/>
        </w:rPr>
      </w:pPr>
    </w:p>
    <w:tbl>
      <w:tblPr>
        <w:tblStyle w:val="20"/>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08C5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vAlign w:val="center"/>
          </w:tcPr>
          <w:p w14:paraId="23861E6C">
            <w:pPr>
              <w:jc w:val="center"/>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vAlign w:val="center"/>
          </w:tcPr>
          <w:p w14:paraId="6B49C988">
            <w:pPr>
              <w:jc w:val="center"/>
              <w:rPr>
                <w:rFonts w:hint="eastAsia" w:ascii="仿宋" w:hAnsi="仿宋" w:eastAsia="仿宋"/>
                <w:sz w:val="28"/>
                <w:szCs w:val="28"/>
                <w:highlight w:val="none"/>
              </w:rPr>
            </w:pPr>
            <w:r>
              <w:rPr>
                <w:rFonts w:hint="eastAsia" w:ascii="仿宋" w:hAnsi="仿宋" w:eastAsia="仿宋" w:cs="仿宋"/>
                <w:color w:val="000000"/>
                <w:sz w:val="28"/>
                <w:szCs w:val="28"/>
                <w:highlight w:val="none"/>
              </w:rPr>
              <w:t>成都市新津区中医医院智慧消防系统改造采购项目询预算价</w:t>
            </w:r>
          </w:p>
        </w:tc>
      </w:tr>
      <w:tr w14:paraId="2175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vAlign w:val="center"/>
          </w:tcPr>
          <w:p w14:paraId="16C20EA6">
            <w:pPr>
              <w:ind w:firstLine="280" w:firstLineChars="100"/>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报名单位 /个人名称</w:t>
            </w:r>
          </w:p>
          <w:p w14:paraId="2DB8A942">
            <w:pPr>
              <w:ind w:firstLine="236" w:firstLineChars="98"/>
              <w:rPr>
                <w:rFonts w:hint="eastAsia" w:ascii="仿宋" w:hAnsi="仿宋" w:eastAsia="仿宋"/>
                <w:b/>
                <w:sz w:val="24"/>
                <w:szCs w:val="24"/>
                <w:highlight w:val="none"/>
              </w:rPr>
            </w:pPr>
            <w:r>
              <w:rPr>
                <w:rFonts w:hint="eastAsia" w:ascii="仿宋" w:hAnsi="仿宋" w:eastAsia="仿宋"/>
                <w:b/>
                <w:sz w:val="24"/>
                <w:highlight w:val="none"/>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tcPr>
          <w:p w14:paraId="2042103C">
            <w:pPr>
              <w:jc w:val="center"/>
              <w:rPr>
                <w:rFonts w:hint="eastAsia" w:ascii="仿宋" w:hAnsi="仿宋" w:eastAsia="仿宋"/>
                <w:sz w:val="28"/>
                <w:szCs w:val="28"/>
                <w:highlight w:val="none"/>
              </w:rPr>
            </w:pPr>
            <w:r>
              <w:rPr>
                <w:rFonts w:hint="eastAsia"/>
                <w:sz w:val="28"/>
                <w:szCs w:val="28"/>
                <w:highlight w:val="none"/>
              </w:rPr>
              <w:t xml:space="preserve">                              </w:t>
            </w:r>
            <w:r>
              <w:rPr>
                <w:rFonts w:hint="eastAsia" w:ascii="仿宋" w:hAnsi="仿宋" w:eastAsia="仿宋" w:cs="仿宋"/>
                <w:sz w:val="28"/>
                <w:szCs w:val="28"/>
                <w:highlight w:val="none"/>
              </w:rPr>
              <w:t>（盖章）</w:t>
            </w:r>
          </w:p>
        </w:tc>
      </w:tr>
      <w:tr w14:paraId="0124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420" w:type="dxa"/>
            <w:tcBorders>
              <w:top w:val="single" w:color="auto" w:sz="4" w:space="0"/>
              <w:left w:val="single" w:color="auto" w:sz="4" w:space="0"/>
              <w:bottom w:val="single" w:color="auto" w:sz="4" w:space="0"/>
              <w:right w:val="single" w:color="auto" w:sz="4" w:space="0"/>
            </w:tcBorders>
            <w:vAlign w:val="center"/>
          </w:tcPr>
          <w:p w14:paraId="382E9B16">
            <w:pPr>
              <w:jc w:val="center"/>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单位  / 个人地址</w:t>
            </w:r>
          </w:p>
        </w:tc>
        <w:tc>
          <w:tcPr>
            <w:tcW w:w="6012" w:type="dxa"/>
            <w:gridSpan w:val="3"/>
            <w:tcBorders>
              <w:top w:val="single" w:color="auto" w:sz="4" w:space="0"/>
              <w:left w:val="single" w:color="auto" w:sz="4" w:space="0"/>
              <w:bottom w:val="single" w:color="auto" w:sz="4" w:space="0"/>
              <w:right w:val="single" w:color="auto" w:sz="4" w:space="0"/>
            </w:tcBorders>
          </w:tcPr>
          <w:p w14:paraId="6F007F65">
            <w:pPr>
              <w:jc w:val="center"/>
              <w:rPr>
                <w:rFonts w:hint="eastAsia" w:ascii="仿宋" w:hAnsi="仿宋" w:eastAsia="仿宋"/>
                <w:sz w:val="28"/>
                <w:szCs w:val="28"/>
                <w:highlight w:val="none"/>
              </w:rPr>
            </w:pPr>
          </w:p>
        </w:tc>
      </w:tr>
      <w:tr w14:paraId="00B2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vAlign w:val="center"/>
          </w:tcPr>
          <w:p w14:paraId="6424DBC5">
            <w:pPr>
              <w:jc w:val="center"/>
              <w:rPr>
                <w:rFonts w:hint="eastAsia" w:ascii="仿宋" w:hAnsi="仿宋" w:eastAsia="仿宋"/>
                <w:sz w:val="28"/>
                <w:szCs w:val="28"/>
                <w:highlight w:val="none"/>
              </w:rPr>
            </w:pPr>
            <w:r>
              <w:rPr>
                <w:rFonts w:hint="eastAsia" w:ascii="仿宋" w:hAnsi="仿宋" w:eastAsia="仿宋"/>
                <w:sz w:val="28"/>
                <w:szCs w:val="28"/>
                <w:highlight w:val="none"/>
              </w:rPr>
              <w:t>单位电话</w:t>
            </w:r>
            <w:r>
              <w:rPr>
                <w:rFonts w:hint="eastAsia" w:ascii="仿宋" w:hAnsi="仿宋" w:eastAsia="仿宋"/>
                <w:sz w:val="24"/>
                <w:highlight w:val="none"/>
              </w:rPr>
              <w:t xml:space="preserve"> </w:t>
            </w:r>
          </w:p>
        </w:tc>
        <w:tc>
          <w:tcPr>
            <w:tcW w:w="6012" w:type="dxa"/>
            <w:gridSpan w:val="3"/>
            <w:tcBorders>
              <w:top w:val="single" w:color="auto" w:sz="4" w:space="0"/>
              <w:left w:val="single" w:color="auto" w:sz="4" w:space="0"/>
              <w:bottom w:val="single" w:color="auto" w:sz="4" w:space="0"/>
              <w:right w:val="single" w:color="auto" w:sz="4" w:space="0"/>
            </w:tcBorders>
          </w:tcPr>
          <w:p w14:paraId="750FF838">
            <w:pPr>
              <w:rPr>
                <w:rFonts w:hint="eastAsia" w:ascii="仿宋" w:hAnsi="仿宋" w:eastAsia="仿宋"/>
                <w:sz w:val="24"/>
                <w:szCs w:val="24"/>
                <w:highlight w:val="none"/>
              </w:rPr>
            </w:pPr>
          </w:p>
        </w:tc>
      </w:tr>
      <w:tr w14:paraId="7E31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vAlign w:val="center"/>
          </w:tcPr>
          <w:p w14:paraId="59B18092">
            <w:pPr>
              <w:jc w:val="center"/>
              <w:rPr>
                <w:rFonts w:hint="eastAsia" w:ascii="仿宋" w:hAnsi="仿宋" w:eastAsia="仿宋"/>
                <w:sz w:val="28"/>
                <w:szCs w:val="28"/>
                <w:highlight w:val="none"/>
              </w:rPr>
            </w:pPr>
            <w:r>
              <w:rPr>
                <w:rFonts w:hint="eastAsia"/>
                <w:sz w:val="28"/>
                <w:szCs w:val="28"/>
                <w:highlight w:val="none"/>
              </w:rPr>
              <w:t>*经办</w:t>
            </w:r>
            <w:r>
              <w:rPr>
                <w:rFonts w:hint="eastAsia" w:ascii="仿宋" w:hAnsi="仿宋" w:eastAsia="仿宋"/>
                <w:sz w:val="28"/>
                <w:szCs w:val="28"/>
                <w:highlight w:val="none"/>
              </w:rPr>
              <w:t>联系人</w:t>
            </w:r>
          </w:p>
        </w:tc>
        <w:tc>
          <w:tcPr>
            <w:tcW w:w="1980" w:type="dxa"/>
            <w:tcBorders>
              <w:top w:val="single" w:color="auto" w:sz="4" w:space="0"/>
              <w:left w:val="single" w:color="auto" w:sz="4" w:space="0"/>
              <w:bottom w:val="single" w:color="auto" w:sz="4" w:space="0"/>
              <w:right w:val="single" w:color="auto" w:sz="4" w:space="0"/>
            </w:tcBorders>
          </w:tcPr>
          <w:p w14:paraId="099E3736">
            <w:pPr>
              <w:jc w:val="center"/>
              <w:rPr>
                <w:rFonts w:hint="eastAsia" w:ascii="仿宋" w:hAnsi="仿宋" w:eastAsia="仿宋"/>
                <w:sz w:val="28"/>
                <w:szCs w:val="2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15B8CD37">
            <w:pPr>
              <w:jc w:val="center"/>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手 机</w:t>
            </w:r>
          </w:p>
        </w:tc>
        <w:tc>
          <w:tcPr>
            <w:tcW w:w="2592" w:type="dxa"/>
            <w:tcBorders>
              <w:top w:val="single" w:color="auto" w:sz="4" w:space="0"/>
              <w:left w:val="single" w:color="auto" w:sz="4" w:space="0"/>
              <w:bottom w:val="single" w:color="auto" w:sz="4" w:space="0"/>
              <w:right w:val="single" w:color="auto" w:sz="4" w:space="0"/>
            </w:tcBorders>
          </w:tcPr>
          <w:p w14:paraId="6DA56C1A">
            <w:pPr>
              <w:jc w:val="center"/>
              <w:rPr>
                <w:rFonts w:hint="eastAsia" w:ascii="仿宋" w:hAnsi="仿宋" w:eastAsia="仿宋"/>
                <w:sz w:val="28"/>
                <w:szCs w:val="28"/>
                <w:highlight w:val="none"/>
              </w:rPr>
            </w:pPr>
          </w:p>
        </w:tc>
      </w:tr>
      <w:tr w14:paraId="452A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vAlign w:val="center"/>
          </w:tcPr>
          <w:p w14:paraId="3CA59D55">
            <w:pPr>
              <w:jc w:val="center"/>
              <w:rPr>
                <w:rFonts w:hint="eastAsia" w:ascii="仿宋" w:hAnsi="仿宋" w:eastAsia="仿宋"/>
                <w:sz w:val="28"/>
                <w:szCs w:val="28"/>
                <w:highlight w:val="none"/>
              </w:rPr>
            </w:pPr>
            <w:r>
              <w:rPr>
                <w:rFonts w:hint="eastAsia" w:ascii="仿宋" w:hAnsi="仿宋" w:eastAsia="仿宋"/>
                <w:sz w:val="28"/>
                <w:szCs w:val="28"/>
                <w:highlight w:val="none"/>
              </w:rPr>
              <w:t>邮     箱</w:t>
            </w:r>
          </w:p>
        </w:tc>
        <w:tc>
          <w:tcPr>
            <w:tcW w:w="6012" w:type="dxa"/>
            <w:gridSpan w:val="3"/>
            <w:tcBorders>
              <w:top w:val="single" w:color="auto" w:sz="4" w:space="0"/>
              <w:left w:val="single" w:color="auto" w:sz="4" w:space="0"/>
              <w:bottom w:val="single" w:color="auto" w:sz="4" w:space="0"/>
              <w:right w:val="single" w:color="auto" w:sz="4" w:space="0"/>
            </w:tcBorders>
          </w:tcPr>
          <w:p w14:paraId="38919C6C">
            <w:pPr>
              <w:jc w:val="center"/>
              <w:rPr>
                <w:rFonts w:hint="eastAsia" w:ascii="仿宋" w:hAnsi="仿宋" w:eastAsia="仿宋"/>
                <w:sz w:val="28"/>
                <w:szCs w:val="28"/>
                <w:highlight w:val="none"/>
              </w:rPr>
            </w:pPr>
          </w:p>
        </w:tc>
      </w:tr>
      <w:tr w14:paraId="55D5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vAlign w:val="center"/>
          </w:tcPr>
          <w:p w14:paraId="11439928">
            <w:pPr>
              <w:jc w:val="center"/>
              <w:rPr>
                <w:rFonts w:hint="eastAsia" w:ascii="仿宋" w:hAnsi="仿宋" w:eastAsia="仿宋"/>
                <w:sz w:val="28"/>
                <w:szCs w:val="28"/>
                <w:highlight w:val="none"/>
              </w:rPr>
            </w:pPr>
            <w:r>
              <w:rPr>
                <w:rFonts w:hint="eastAsia" w:ascii="仿宋" w:hAnsi="仿宋" w:eastAsia="仿宋"/>
                <w:sz w:val="28"/>
                <w:szCs w:val="28"/>
                <w:highlight w:val="none"/>
              </w:rPr>
              <w:t>备     注</w:t>
            </w:r>
          </w:p>
        </w:tc>
        <w:tc>
          <w:tcPr>
            <w:tcW w:w="6012" w:type="dxa"/>
            <w:gridSpan w:val="3"/>
            <w:tcBorders>
              <w:top w:val="single" w:color="auto" w:sz="4" w:space="0"/>
              <w:left w:val="single" w:color="auto" w:sz="4" w:space="0"/>
              <w:bottom w:val="single" w:color="auto" w:sz="4" w:space="0"/>
              <w:right w:val="single" w:color="auto" w:sz="4" w:space="0"/>
            </w:tcBorders>
          </w:tcPr>
          <w:p w14:paraId="69575145">
            <w:pPr>
              <w:rPr>
                <w:rFonts w:hint="eastAsia" w:ascii="仿宋" w:hAnsi="仿宋" w:eastAsia="仿宋"/>
                <w:sz w:val="28"/>
                <w:szCs w:val="28"/>
                <w:highlight w:val="none"/>
              </w:rPr>
            </w:pPr>
          </w:p>
        </w:tc>
      </w:tr>
    </w:tbl>
    <w:p w14:paraId="02F47278">
      <w:pPr>
        <w:jc w:val="center"/>
        <w:rPr>
          <w:highlight w:val="none"/>
        </w:rPr>
      </w:pPr>
    </w:p>
    <w:p w14:paraId="76D81A6A">
      <w:pPr>
        <w:spacing w:line="360" w:lineRule="auto"/>
        <w:rPr>
          <w:rFonts w:hint="eastAsia" w:ascii="仿宋" w:hAnsi="仿宋" w:eastAsia="仿宋"/>
          <w:sz w:val="24"/>
          <w:szCs w:val="24"/>
          <w:highlight w:val="none"/>
        </w:rPr>
      </w:pPr>
      <w:r>
        <w:rPr>
          <w:rFonts w:hint="eastAsia" w:ascii="仿宋" w:hAnsi="仿宋" w:eastAsia="仿宋"/>
          <w:sz w:val="24"/>
          <w:szCs w:val="24"/>
          <w:highlight w:val="none"/>
        </w:rPr>
        <w:t xml:space="preserve">    采购单位联系人：潘老师、周老师 028-82526150，邮箱845865477@qq.com</w:t>
      </w:r>
    </w:p>
    <w:p w14:paraId="5B7A56E2">
      <w:pPr>
        <w:spacing w:line="360" w:lineRule="auto"/>
        <w:rPr>
          <w:rFonts w:hint="eastAsia" w:ascii="仿宋" w:hAnsi="仿宋" w:eastAsia="仿宋"/>
          <w:sz w:val="24"/>
          <w:szCs w:val="24"/>
          <w:highlight w:val="none"/>
        </w:rPr>
      </w:pPr>
      <w:r>
        <w:rPr>
          <w:rFonts w:hint="eastAsia" w:ascii="仿宋" w:hAnsi="仿宋" w:eastAsia="仿宋"/>
          <w:sz w:val="24"/>
          <w:szCs w:val="24"/>
          <w:highlight w:val="none"/>
        </w:rPr>
        <w:t>注:提供（1）报名登记表扫描件（2）投标单位营业执照正、副本复印件（3）</w:t>
      </w:r>
      <w:r>
        <w:rPr>
          <w:rFonts w:hint="eastAsia" w:ascii="仿宋" w:hAnsi="仿宋" w:eastAsia="仿宋" w:cs="仿宋"/>
          <w:sz w:val="24"/>
          <w:szCs w:val="24"/>
          <w:highlight w:val="none"/>
        </w:rPr>
        <w:t>法人和授权委托人证明文件</w:t>
      </w:r>
      <w:r>
        <w:rPr>
          <w:rFonts w:hint="eastAsia" w:ascii="仿宋" w:hAnsi="仿宋" w:eastAsia="仿宋"/>
          <w:sz w:val="24"/>
          <w:szCs w:val="24"/>
          <w:highlight w:val="none"/>
        </w:rPr>
        <w:t>（以上三条均需加盖供应商公章，提供扫描至以上邮箱）（4）递交响应文件时，把以上3项资料盖章资料一并递交，此3项资料无需密封。</w:t>
      </w:r>
    </w:p>
    <w:p w14:paraId="7F640F1D">
      <w:pPr>
        <w:spacing w:line="360" w:lineRule="auto"/>
        <w:rPr>
          <w:highlight w:val="none"/>
        </w:rPr>
      </w:pPr>
      <w:r>
        <w:rPr>
          <w:rFonts w:hint="eastAsia" w:ascii="仿宋" w:hAnsi="仿宋" w:eastAsia="仿宋"/>
          <w:sz w:val="24"/>
          <w:szCs w:val="24"/>
          <w:highlight w:val="none"/>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B584F1-67CD-4856-B8E1-33EDBC0452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AA882503-E43A-40B2-AE77-AB9D2DDDC1CD}"/>
  </w:font>
  <w:font w:name="仿宋_GB2312">
    <w:panose1 w:val="02010609030101010101"/>
    <w:charset w:val="86"/>
    <w:family w:val="modern"/>
    <w:pitch w:val="default"/>
    <w:sig w:usb0="00000001" w:usb1="080E0000" w:usb2="00000000" w:usb3="00000000" w:csb0="00040000" w:csb1="00000000"/>
    <w:embedRegular r:id="rId3" w:fontKey="{044E4299-CCA5-44A2-B178-72B6259F6506}"/>
  </w:font>
  <w:font w:name="楷体_GB2312">
    <w:panose1 w:val="02010609030101010101"/>
    <w:charset w:val="86"/>
    <w:family w:val="auto"/>
    <w:pitch w:val="default"/>
    <w:sig w:usb0="00000001" w:usb1="080E0000" w:usb2="00000000" w:usb3="00000000" w:csb0="00040000" w:csb1="00000000"/>
    <w:embedRegular r:id="rId4" w:fontKey="{45BED681-0497-4E3A-A7C1-8C43EDCE17FE}"/>
  </w:font>
  <w:font w:name="华文中宋">
    <w:panose1 w:val="02010600040101010101"/>
    <w:charset w:val="86"/>
    <w:family w:val="auto"/>
    <w:pitch w:val="default"/>
    <w:sig w:usb0="00000287" w:usb1="080F0000" w:usb2="00000000" w:usb3="00000000" w:csb0="0004009F" w:csb1="DFD70000"/>
    <w:embedRegular r:id="rId5" w:fontKey="{0DEE575D-2945-4F46-9690-0971AB5C409C}"/>
  </w:font>
  <w:font w:name="WPSEMBED3">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79CBD">
    <w:pPr>
      <w:pStyle w:val="1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1FD46">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6C1FD46">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E4A69"/>
    <w:multiLevelType w:val="singleLevel"/>
    <w:tmpl w:val="A17E4A6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1520F6"/>
    <w:rsid w:val="000547AF"/>
    <w:rsid w:val="001520F6"/>
    <w:rsid w:val="00153B12"/>
    <w:rsid w:val="002166B0"/>
    <w:rsid w:val="00496AEE"/>
    <w:rsid w:val="00653692"/>
    <w:rsid w:val="006F2BE0"/>
    <w:rsid w:val="00706AB1"/>
    <w:rsid w:val="009A2901"/>
    <w:rsid w:val="00B23927"/>
    <w:rsid w:val="00BB089B"/>
    <w:rsid w:val="00C22A60"/>
    <w:rsid w:val="00C2506A"/>
    <w:rsid w:val="00C47188"/>
    <w:rsid w:val="00C53DFD"/>
    <w:rsid w:val="00C74139"/>
    <w:rsid w:val="00D7198D"/>
    <w:rsid w:val="00F116CF"/>
    <w:rsid w:val="00F234A5"/>
    <w:rsid w:val="00FE21FD"/>
    <w:rsid w:val="01C70091"/>
    <w:rsid w:val="02E27685"/>
    <w:rsid w:val="037574EA"/>
    <w:rsid w:val="03AD764F"/>
    <w:rsid w:val="03C14F9B"/>
    <w:rsid w:val="03C22C94"/>
    <w:rsid w:val="06140401"/>
    <w:rsid w:val="0687062B"/>
    <w:rsid w:val="07543E0A"/>
    <w:rsid w:val="081A4D48"/>
    <w:rsid w:val="083420ED"/>
    <w:rsid w:val="08B35707"/>
    <w:rsid w:val="08F2390F"/>
    <w:rsid w:val="097B39EB"/>
    <w:rsid w:val="0A0B3C41"/>
    <w:rsid w:val="0A9B3267"/>
    <w:rsid w:val="0B5918E5"/>
    <w:rsid w:val="0CAF61E6"/>
    <w:rsid w:val="0CD85E9D"/>
    <w:rsid w:val="0CEC01E6"/>
    <w:rsid w:val="0D5C45C0"/>
    <w:rsid w:val="105B0B5E"/>
    <w:rsid w:val="109E4EEF"/>
    <w:rsid w:val="10B14879"/>
    <w:rsid w:val="11213D01"/>
    <w:rsid w:val="115A0E16"/>
    <w:rsid w:val="11E825EC"/>
    <w:rsid w:val="12042B30"/>
    <w:rsid w:val="126F67ED"/>
    <w:rsid w:val="136C3083"/>
    <w:rsid w:val="13857CA0"/>
    <w:rsid w:val="142B4CEC"/>
    <w:rsid w:val="14D42C8D"/>
    <w:rsid w:val="156D6775"/>
    <w:rsid w:val="18226BE9"/>
    <w:rsid w:val="189A41EE"/>
    <w:rsid w:val="18B340A6"/>
    <w:rsid w:val="18BB1A7C"/>
    <w:rsid w:val="190653E0"/>
    <w:rsid w:val="1918274B"/>
    <w:rsid w:val="192D5B82"/>
    <w:rsid w:val="1A0E09F0"/>
    <w:rsid w:val="1A82318C"/>
    <w:rsid w:val="1A916CD3"/>
    <w:rsid w:val="1B7C3AD4"/>
    <w:rsid w:val="1B8227E1"/>
    <w:rsid w:val="1CF00880"/>
    <w:rsid w:val="1D1502E7"/>
    <w:rsid w:val="1E5866DD"/>
    <w:rsid w:val="1F51661D"/>
    <w:rsid w:val="1F6B2440"/>
    <w:rsid w:val="1FEB04EB"/>
    <w:rsid w:val="203A6AFE"/>
    <w:rsid w:val="20631E6A"/>
    <w:rsid w:val="22C02AA3"/>
    <w:rsid w:val="24036A14"/>
    <w:rsid w:val="24474C6F"/>
    <w:rsid w:val="25657932"/>
    <w:rsid w:val="257E6FA1"/>
    <w:rsid w:val="258E752F"/>
    <w:rsid w:val="259A0116"/>
    <w:rsid w:val="25A126FB"/>
    <w:rsid w:val="25A238C5"/>
    <w:rsid w:val="25E116AE"/>
    <w:rsid w:val="26104F2A"/>
    <w:rsid w:val="26540B17"/>
    <w:rsid w:val="28081A55"/>
    <w:rsid w:val="28215785"/>
    <w:rsid w:val="28273A3D"/>
    <w:rsid w:val="285D2B42"/>
    <w:rsid w:val="28CB21A2"/>
    <w:rsid w:val="28E76FDC"/>
    <w:rsid w:val="28EC2844"/>
    <w:rsid w:val="299F4E43"/>
    <w:rsid w:val="2A50295E"/>
    <w:rsid w:val="2AE31A25"/>
    <w:rsid w:val="2BBE3953"/>
    <w:rsid w:val="2C365B84"/>
    <w:rsid w:val="2C387B4E"/>
    <w:rsid w:val="2C414E70"/>
    <w:rsid w:val="2C5F50DB"/>
    <w:rsid w:val="2C840FE5"/>
    <w:rsid w:val="2CE51C0C"/>
    <w:rsid w:val="2EBA563C"/>
    <w:rsid w:val="2EE0733E"/>
    <w:rsid w:val="3120299D"/>
    <w:rsid w:val="313733B5"/>
    <w:rsid w:val="31E57B5F"/>
    <w:rsid w:val="326C29AA"/>
    <w:rsid w:val="32DF1FDC"/>
    <w:rsid w:val="338B0EAB"/>
    <w:rsid w:val="338D4C23"/>
    <w:rsid w:val="35FA3F11"/>
    <w:rsid w:val="361433DA"/>
    <w:rsid w:val="36A24542"/>
    <w:rsid w:val="376663E7"/>
    <w:rsid w:val="37922808"/>
    <w:rsid w:val="37F331A8"/>
    <w:rsid w:val="381C22E4"/>
    <w:rsid w:val="39344DD8"/>
    <w:rsid w:val="39EE7A9E"/>
    <w:rsid w:val="3BE617FF"/>
    <w:rsid w:val="3C3245BA"/>
    <w:rsid w:val="3CE235AE"/>
    <w:rsid w:val="3EAD106F"/>
    <w:rsid w:val="3EAF2F70"/>
    <w:rsid w:val="402E6E46"/>
    <w:rsid w:val="40910441"/>
    <w:rsid w:val="40980764"/>
    <w:rsid w:val="41847666"/>
    <w:rsid w:val="41EE2342"/>
    <w:rsid w:val="429978DB"/>
    <w:rsid w:val="43B35B15"/>
    <w:rsid w:val="440B7D6A"/>
    <w:rsid w:val="44645BCE"/>
    <w:rsid w:val="45792516"/>
    <w:rsid w:val="459E4A6E"/>
    <w:rsid w:val="45BF6AF8"/>
    <w:rsid w:val="45FC4EDB"/>
    <w:rsid w:val="460658B3"/>
    <w:rsid w:val="46856199"/>
    <w:rsid w:val="46E44703"/>
    <w:rsid w:val="47316A0D"/>
    <w:rsid w:val="47D30851"/>
    <w:rsid w:val="49154102"/>
    <w:rsid w:val="49C12AD9"/>
    <w:rsid w:val="49F81D75"/>
    <w:rsid w:val="4A0855A2"/>
    <w:rsid w:val="4B645E12"/>
    <w:rsid w:val="4C074DD7"/>
    <w:rsid w:val="4CB4191C"/>
    <w:rsid w:val="4DF96CE5"/>
    <w:rsid w:val="4E3E5621"/>
    <w:rsid w:val="4E882791"/>
    <w:rsid w:val="4F2627F5"/>
    <w:rsid w:val="4FC9093A"/>
    <w:rsid w:val="50992D05"/>
    <w:rsid w:val="511D10FA"/>
    <w:rsid w:val="51FF2B94"/>
    <w:rsid w:val="529102F8"/>
    <w:rsid w:val="530C0109"/>
    <w:rsid w:val="533F3632"/>
    <w:rsid w:val="53857839"/>
    <w:rsid w:val="543E073D"/>
    <w:rsid w:val="558C2787"/>
    <w:rsid w:val="55983288"/>
    <w:rsid w:val="55BF0D9E"/>
    <w:rsid w:val="55DC4A75"/>
    <w:rsid w:val="56F24C1A"/>
    <w:rsid w:val="58095D77"/>
    <w:rsid w:val="5908115A"/>
    <w:rsid w:val="594D4AA0"/>
    <w:rsid w:val="599562DD"/>
    <w:rsid w:val="5A61002F"/>
    <w:rsid w:val="5A8B5E8A"/>
    <w:rsid w:val="5B383E5D"/>
    <w:rsid w:val="5B802AD3"/>
    <w:rsid w:val="5B9F7A2E"/>
    <w:rsid w:val="5C283570"/>
    <w:rsid w:val="5CD324F3"/>
    <w:rsid w:val="5CEE378D"/>
    <w:rsid w:val="5E14253A"/>
    <w:rsid w:val="5E9C6B06"/>
    <w:rsid w:val="5F6F6E00"/>
    <w:rsid w:val="5F8F5B94"/>
    <w:rsid w:val="60E70C20"/>
    <w:rsid w:val="60F11A9E"/>
    <w:rsid w:val="61225266"/>
    <w:rsid w:val="61CD250B"/>
    <w:rsid w:val="621041A6"/>
    <w:rsid w:val="62976675"/>
    <w:rsid w:val="638E6572"/>
    <w:rsid w:val="64F00F67"/>
    <w:rsid w:val="65A6150C"/>
    <w:rsid w:val="66502ACA"/>
    <w:rsid w:val="66504195"/>
    <w:rsid w:val="670267B3"/>
    <w:rsid w:val="68796990"/>
    <w:rsid w:val="692F0EEA"/>
    <w:rsid w:val="69A77331"/>
    <w:rsid w:val="69FA5E67"/>
    <w:rsid w:val="6A2C3362"/>
    <w:rsid w:val="6C792A1B"/>
    <w:rsid w:val="6CAF118B"/>
    <w:rsid w:val="6CE823EB"/>
    <w:rsid w:val="6D147240"/>
    <w:rsid w:val="6D7307E1"/>
    <w:rsid w:val="6D8871EF"/>
    <w:rsid w:val="6D9B3ACA"/>
    <w:rsid w:val="6DD33414"/>
    <w:rsid w:val="6E893B0C"/>
    <w:rsid w:val="6FE47C79"/>
    <w:rsid w:val="6FF04DCF"/>
    <w:rsid w:val="70776A9B"/>
    <w:rsid w:val="70F55EB6"/>
    <w:rsid w:val="717645B6"/>
    <w:rsid w:val="71950224"/>
    <w:rsid w:val="71DB4DBC"/>
    <w:rsid w:val="72411EEC"/>
    <w:rsid w:val="72EA3CE1"/>
    <w:rsid w:val="731665C7"/>
    <w:rsid w:val="73217EED"/>
    <w:rsid w:val="73700F48"/>
    <w:rsid w:val="742A2C87"/>
    <w:rsid w:val="74513CA5"/>
    <w:rsid w:val="74835629"/>
    <w:rsid w:val="74C05C36"/>
    <w:rsid w:val="761D53B8"/>
    <w:rsid w:val="762D016C"/>
    <w:rsid w:val="764364A0"/>
    <w:rsid w:val="767D7C04"/>
    <w:rsid w:val="77F6518B"/>
    <w:rsid w:val="78D9538A"/>
    <w:rsid w:val="794E6000"/>
    <w:rsid w:val="79C64BDE"/>
    <w:rsid w:val="7AD25AA2"/>
    <w:rsid w:val="7B6F1AE6"/>
    <w:rsid w:val="7B943A85"/>
    <w:rsid w:val="7C2330CA"/>
    <w:rsid w:val="7D9E115D"/>
    <w:rsid w:val="7E013117"/>
    <w:rsid w:val="7EDE3F45"/>
    <w:rsid w:val="7F8E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Salutation"/>
    <w:basedOn w:val="1"/>
    <w:next w:val="1"/>
    <w:qFormat/>
    <w:uiPriority w:val="0"/>
    <w:rPr>
      <w:rFonts w:ascii="Calibri" w:hAnsi="Calibri"/>
      <w:szCs w:val="24"/>
    </w:rPr>
  </w:style>
  <w:style w:type="paragraph" w:styleId="7">
    <w:name w:val="Body Text 3"/>
    <w:basedOn w:val="1"/>
    <w:unhideWhenUsed/>
    <w:qFormat/>
    <w:uiPriority w:val="99"/>
    <w:pPr>
      <w:jc w:val="center"/>
    </w:pPr>
    <w:rPr>
      <w:rFonts w:hint="eastAsia" w:hAnsi="Symbol"/>
      <w:sz w:val="10"/>
      <w:szCs w:val="24"/>
    </w:rPr>
  </w:style>
  <w:style w:type="paragraph" w:styleId="8">
    <w:name w:val="Body Text"/>
    <w:basedOn w:val="1"/>
    <w:next w:val="1"/>
    <w:qFormat/>
    <w:uiPriority w:val="99"/>
    <w:pPr>
      <w:spacing w:after="120"/>
    </w:pPr>
    <w:rPr>
      <w:rFonts w:ascii="宋体"/>
      <w:kern w:val="0"/>
      <w:sz w:val="34"/>
      <w:szCs w:val="20"/>
    </w:rPr>
  </w:style>
  <w:style w:type="paragraph" w:styleId="9">
    <w:name w:val="Body Text Indent"/>
    <w:basedOn w:val="1"/>
    <w:qFormat/>
    <w:uiPriority w:val="0"/>
    <w:pPr>
      <w:spacing w:line="500" w:lineRule="exact"/>
      <w:ind w:left="832" w:leftChars="832" w:firstLine="433" w:firstLineChars="196"/>
    </w:pPr>
    <w:rPr>
      <w:sz w:val="24"/>
    </w:rPr>
  </w:style>
  <w:style w:type="paragraph" w:styleId="10">
    <w:name w:val="Date"/>
    <w:basedOn w:val="1"/>
    <w:next w:val="1"/>
    <w:qFormat/>
    <w:uiPriority w:val="0"/>
    <w:rPr>
      <w:rFonts w:eastAsia="黑体"/>
      <w:sz w:val="36"/>
    </w:rPr>
  </w:style>
  <w:style w:type="paragraph" w:styleId="11">
    <w:name w:val="Body Text Indent 2"/>
    <w:basedOn w:val="1"/>
    <w:next w:val="12"/>
    <w:qFormat/>
    <w:uiPriority w:val="0"/>
    <w:pPr>
      <w:spacing w:after="120" w:line="480" w:lineRule="auto"/>
      <w:ind w:left="420" w:leftChars="200"/>
    </w:pPr>
    <w:rPr>
      <w:rFonts w:ascii="Calibri" w:hAnsi="Calibri"/>
    </w:rPr>
  </w:style>
  <w:style w:type="paragraph" w:customStyle="1" w:styleId="12">
    <w:name w:val="样式"/>
    <w:basedOn w:val="1"/>
    <w:qFormat/>
    <w:uiPriority w:val="0"/>
    <w:pPr>
      <w:autoSpaceDE w:val="0"/>
      <w:autoSpaceDN w:val="0"/>
      <w:adjustRightInd w:val="0"/>
      <w:jc w:val="left"/>
    </w:pPr>
    <w:rPr>
      <w:rFonts w:hint="eastAsia" w:ascii="宋体" w:hAnsi="宋体"/>
      <w:kern w:val="0"/>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List"/>
    <w:basedOn w:val="1"/>
    <w:qFormat/>
    <w:uiPriority w:val="0"/>
    <w:pPr>
      <w:ind w:left="283" w:hanging="283"/>
      <w:contextualSpacing/>
    </w:pPr>
    <w:rPr>
      <w:rFonts w:ascii="Calibri" w:hAnsi="Calibri"/>
    </w:rPr>
  </w:style>
  <w:style w:type="paragraph" w:styleId="16">
    <w:name w:val="HTML Preformatted"/>
    <w:basedOn w:val="1"/>
    <w:qFormat/>
    <w:uiPriority w:val="0"/>
    <w:rPr>
      <w:rFonts w:ascii="Courier New" w:hAnsi="Courier New"/>
      <w:sz w:val="20"/>
      <w:szCs w:val="20"/>
    </w:rPr>
  </w:style>
  <w:style w:type="paragraph" w:styleId="17">
    <w:name w:val="Normal (Web)"/>
    <w:basedOn w:val="1"/>
    <w:qFormat/>
    <w:uiPriority w:val="0"/>
    <w:pPr>
      <w:spacing w:beforeAutospacing="1" w:afterAutospacing="1"/>
      <w:jc w:val="left"/>
    </w:pPr>
    <w:rPr>
      <w:kern w:val="0"/>
      <w:sz w:val="24"/>
    </w:rPr>
  </w:style>
  <w:style w:type="paragraph" w:styleId="18">
    <w:name w:val="Body Text First Indent"/>
    <w:basedOn w:val="8"/>
    <w:qFormat/>
    <w:uiPriority w:val="0"/>
    <w:pPr>
      <w:ind w:firstLine="420" w:firstLineChars="100"/>
    </w:pPr>
  </w:style>
  <w:style w:type="paragraph" w:styleId="19">
    <w:name w:val="Body Text First Indent 2"/>
    <w:basedOn w:val="9"/>
    <w:qFormat/>
    <w:uiPriority w:val="0"/>
    <w:pPr>
      <w:spacing w:after="120" w:line="240" w:lineRule="auto"/>
      <w:ind w:left="420" w:leftChars="200" w:firstLine="42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5">
    <w:name w:val="List Paragraph"/>
    <w:basedOn w:val="1"/>
    <w:qFormat/>
    <w:uiPriority w:val="34"/>
    <w:pPr>
      <w:ind w:firstLine="420" w:firstLineChars="200"/>
    </w:pPr>
  </w:style>
  <w:style w:type="character" w:customStyle="1" w:styleId="26">
    <w:name w:val="NormalCharacter"/>
    <w:semiHidden/>
    <w:qFormat/>
    <w:uiPriority w:val="0"/>
  </w:style>
  <w:style w:type="paragraph" w:customStyle="1" w:styleId="27">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bidi="ar-SA"/>
    </w:rPr>
  </w:style>
  <w:style w:type="paragraph" w:customStyle="1" w:styleId="29">
    <w:name w:val="_Style 13"/>
    <w:autoRedefine/>
    <w:qFormat/>
    <w:uiPriority w:val="0"/>
    <w:pPr>
      <w:spacing w:before="120" w:after="120" w:line="288" w:lineRule="auto"/>
    </w:pPr>
    <w:rPr>
      <w:rFonts w:ascii="Arial" w:hAnsi="Arial" w:eastAsia="等线" w:cs="Arial"/>
      <w:sz w:val="22"/>
      <w:szCs w:val="22"/>
      <w:lang w:val="en-US" w:eastAsia="zh-CN" w:bidi="ar-SA"/>
    </w:rPr>
  </w:style>
  <w:style w:type="paragraph" w:customStyle="1" w:styleId="30">
    <w:name w:val="Default"/>
    <w:next w:val="1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1"/>
    <w:basedOn w:val="1"/>
    <w:qFormat/>
    <w:uiPriority w:val="34"/>
    <w:pPr>
      <w:ind w:firstLine="420" w:firstLineChars="200"/>
    </w:pPr>
    <w:rPr>
      <w:rFonts w:ascii="Calibri" w:hAnsi="Calibri"/>
    </w:rPr>
  </w:style>
  <w:style w:type="paragraph" w:styleId="32">
    <w:name w:val="No Spacing"/>
    <w:basedOn w:val="1"/>
    <w:qFormat/>
    <w:uiPriority w:val="1"/>
  </w:style>
  <w:style w:type="character" w:customStyle="1" w:styleId="33">
    <w:name w:val="Hyperlink.0"/>
    <w:basedOn w:val="34"/>
    <w:qFormat/>
    <w:uiPriority w:val="0"/>
    <w:rPr>
      <w:rFonts w:ascii="宋体" w:hAnsi="宋体" w:eastAsia="宋体" w:cs="宋体"/>
      <w:kern w:val="0"/>
      <w:sz w:val="24"/>
      <w:szCs w:val="24"/>
      <w:lang w:val="zh-TW" w:eastAsia="zh-TW"/>
    </w:rPr>
  </w:style>
  <w:style w:type="character" w:customStyle="1" w:styleId="34">
    <w:name w:val="No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3348</Words>
  <Characters>3608</Characters>
  <Lines>436</Lines>
  <Paragraphs>374</Paragraphs>
  <TotalTime>1</TotalTime>
  <ScaleCrop>false</ScaleCrop>
  <LinksUpToDate>false</LinksUpToDate>
  <CharactersWithSpaces>3621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2026-03-11T08:33:00Z</cp:lastPrinted>
  <dcterms:modified xsi:type="dcterms:W3CDTF">2026-06-30T02:34:06Z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718B4113F1334E7D88C56C7670C251EF_13</vt:lpwstr>
  </property>
</Properties>
</file>