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BF874">
      <w:pPr>
        <w:pStyle w:val="7"/>
        <w:jc w:val="center"/>
        <w:rPr>
          <w:rFonts w:hint="eastAsia" w:ascii="方正仿宋_GB2312" w:hAnsi="方正仿宋_GB2312" w:eastAsia="方正仿宋_GB2312" w:cs="方正仿宋_GB2312"/>
          <w:bCs/>
          <w:color w:val="auto"/>
          <w:sz w:val="48"/>
          <w:szCs w:val="48"/>
          <w:lang w:val="en-US" w:eastAsia="zh-CN"/>
        </w:rPr>
      </w:pPr>
      <w:r>
        <w:rPr>
          <w:rFonts w:hint="eastAsia" w:ascii="方正仿宋_GB2312" w:hAnsi="方正仿宋_GB2312" w:eastAsia="方正仿宋_GB2312" w:cs="方正仿宋_GB2312"/>
          <w:sz w:val="36"/>
          <w:szCs w:val="21"/>
          <w:highlight w:val="none"/>
          <w:lang w:val="en-US" w:eastAsia="zh-CN"/>
        </w:rPr>
        <w:t>成都市</w:t>
      </w:r>
      <w:r>
        <w:rPr>
          <w:rFonts w:hint="eastAsia" w:ascii="方正仿宋_GB2312" w:hAnsi="方正仿宋_GB2312" w:eastAsia="方正仿宋_GB2312" w:cs="方正仿宋_GB2312"/>
          <w:sz w:val="36"/>
          <w:szCs w:val="21"/>
          <w:highlight w:val="none"/>
        </w:rPr>
        <w:t>新津区中医医院远程数字病理会诊服务</w:t>
      </w:r>
      <w:r>
        <w:rPr>
          <w:rFonts w:hint="eastAsia" w:ascii="方正仿宋_GB2312" w:hAnsi="方正仿宋_GB2312" w:eastAsia="方正仿宋_GB2312" w:cs="方正仿宋_GB2312"/>
          <w:sz w:val="36"/>
          <w:szCs w:val="21"/>
          <w:highlight w:val="none"/>
          <w:lang w:val="en-US" w:eastAsia="zh-CN"/>
        </w:rPr>
        <w:t>采购</w:t>
      </w:r>
      <w:r>
        <w:rPr>
          <w:rFonts w:hint="eastAsia" w:ascii="方正仿宋_GB2312" w:hAnsi="方正仿宋_GB2312" w:eastAsia="方正仿宋_GB2312" w:cs="方正仿宋_GB2312"/>
          <w:sz w:val="36"/>
          <w:szCs w:val="21"/>
          <w:highlight w:val="none"/>
        </w:rPr>
        <w:t>项目询预算价公</w:t>
      </w:r>
      <w:r>
        <w:rPr>
          <w:rFonts w:hint="eastAsia" w:ascii="方正仿宋_GB2312" w:hAnsi="方正仿宋_GB2312" w:eastAsia="方正仿宋_GB2312" w:cs="方正仿宋_GB2312"/>
          <w:sz w:val="36"/>
          <w:szCs w:val="21"/>
        </w:rPr>
        <w:t>示</w:t>
      </w:r>
    </w:p>
    <w:p w14:paraId="3D73D342">
      <w:pPr>
        <w:spacing w:line="700" w:lineRule="exact"/>
        <w:jc w:val="both"/>
        <w:rPr>
          <w:rFonts w:hint="eastAsia" w:ascii="方正小标宋简体" w:hAnsi="方正小标宋简体" w:eastAsia="方正小标宋简体" w:cs="方正小标宋简体"/>
          <w:bCs/>
          <w:color w:val="auto"/>
          <w:sz w:val="44"/>
          <w:szCs w:val="44"/>
          <w:lang w:val="en-US" w:eastAsia="zh-CN"/>
        </w:rPr>
      </w:pPr>
    </w:p>
    <w:p w14:paraId="5EAD4A9D">
      <w:pPr>
        <w:spacing w:line="360" w:lineRule="auto"/>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各潜在供应商：</w:t>
      </w:r>
    </w:p>
    <w:p w14:paraId="3D58EF04">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根据医院业务需要，我院拟采购远程数字病理会诊服务项目。现将具体采购需求公告如下，各潜在供应商如有意向参与，请主动与我院联系，并在公示期内提供以下资料，以便初步甄选。</w:t>
      </w:r>
    </w:p>
    <w:p w14:paraId="640C3185">
      <w:pPr>
        <w:numPr>
          <w:ilvl w:val="0"/>
          <w:numId w:val="0"/>
        </w:numPr>
        <w:spacing w:line="560" w:lineRule="exact"/>
        <w:rPr>
          <w:rFonts w:hint="eastAsia" w:ascii="仿宋" w:hAnsi="仿宋" w:eastAsia="仿宋" w:cs="仿宋"/>
          <w:b/>
          <w:bCs/>
          <w:color w:val="auto"/>
          <w:sz w:val="32"/>
          <w:szCs w:val="32"/>
        </w:rPr>
      </w:pP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一、</w:t>
      </w:r>
      <w:r>
        <w:rPr>
          <w:rFonts w:hint="eastAsia" w:ascii="仿宋" w:hAnsi="仿宋" w:eastAsia="仿宋" w:cs="仿宋"/>
          <w:b/>
          <w:bCs/>
          <w:color w:val="auto"/>
          <w:sz w:val="32"/>
          <w:szCs w:val="32"/>
        </w:rPr>
        <w:t>公司情况介绍：</w:t>
      </w:r>
    </w:p>
    <w:p w14:paraId="1550F1B8">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1、公司相关业务情况、业绩简介。</w:t>
      </w:r>
    </w:p>
    <w:p w14:paraId="017BA2A8">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2、公司营业执照复印件；公司法人身份证复印件，或授权委托书及授权委托人身份证复印件。</w:t>
      </w:r>
    </w:p>
    <w:p w14:paraId="198AEB46">
      <w:pPr>
        <w:spacing w:line="360" w:lineRule="auto"/>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3、投标人具有有效的国家卫生部门颁发的《医疗机构执业许可证》（提供复印件并加盖公章））</w:t>
      </w:r>
    </w:p>
    <w:p w14:paraId="6E202725">
      <w:pPr>
        <w:numPr>
          <w:ilvl w:val="0"/>
          <w:numId w:val="2"/>
        </w:numPr>
        <w:spacing w:line="56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报名要求：</w:t>
      </w:r>
    </w:p>
    <w:p w14:paraId="09EF76AE">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1、资料必须密封，现场递交成都市新津区中医医院采购部（医院行政办公区二楼）。</w:t>
      </w:r>
    </w:p>
    <w:p w14:paraId="6D45B460">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2、报价资料需按照医院要求格式报价。（附件2）</w:t>
      </w:r>
    </w:p>
    <w:p w14:paraId="0EDEDEDA">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3、提供</w:t>
      </w:r>
      <w:r>
        <w:rPr>
          <w:rFonts w:hint="eastAsia" w:ascii="仿宋" w:hAnsi="仿宋" w:eastAsia="仿宋" w:cs="仿宋"/>
          <w:sz w:val="28"/>
          <w:szCs w:val="28"/>
          <w:lang w:eastAsia="zh-CN"/>
        </w:rPr>
        <w:t>纸质版、</w:t>
      </w:r>
      <w:r>
        <w:rPr>
          <w:rFonts w:hint="eastAsia" w:ascii="仿宋" w:hAnsi="仿宋" w:eastAsia="仿宋" w:cs="仿宋"/>
          <w:sz w:val="28"/>
          <w:szCs w:val="28"/>
        </w:rPr>
        <w:t>电子版报价资料和相关</w:t>
      </w:r>
      <w:r>
        <w:rPr>
          <w:rFonts w:hint="eastAsia" w:ascii="仿宋" w:hAnsi="仿宋" w:eastAsia="仿宋" w:cs="仿宋"/>
          <w:sz w:val="28"/>
          <w:szCs w:val="28"/>
          <w:lang w:val="en-US" w:eastAsia="zh-CN"/>
        </w:rPr>
        <w:t>参数、</w:t>
      </w:r>
      <w:r>
        <w:rPr>
          <w:rFonts w:hint="eastAsia" w:ascii="仿宋" w:hAnsi="仿宋" w:eastAsia="仿宋" w:cs="仿宋"/>
          <w:sz w:val="28"/>
          <w:szCs w:val="28"/>
        </w:rPr>
        <w:t>服务方案简介资料，以便医院甄选使用（</w:t>
      </w:r>
      <w:r>
        <w:rPr>
          <w:rFonts w:hint="eastAsia" w:ascii="仿宋" w:hAnsi="仿宋" w:eastAsia="仿宋" w:cs="仿宋"/>
          <w:b/>
          <w:bCs/>
          <w:color w:val="FF0000"/>
          <w:sz w:val="28"/>
          <w:szCs w:val="28"/>
        </w:rPr>
        <w:t>本项目</w:t>
      </w:r>
      <w:r>
        <w:rPr>
          <w:rFonts w:hint="eastAsia" w:ascii="仿宋" w:hAnsi="仿宋" w:eastAsia="仿宋" w:cs="仿宋"/>
          <w:b/>
          <w:bCs/>
          <w:color w:val="FF0000"/>
          <w:sz w:val="28"/>
          <w:szCs w:val="28"/>
          <w:lang w:val="en-US" w:eastAsia="zh-CN"/>
        </w:rPr>
        <w:t>须</w:t>
      </w:r>
      <w:r>
        <w:rPr>
          <w:rFonts w:hint="eastAsia" w:ascii="仿宋" w:hAnsi="仿宋" w:eastAsia="仿宋" w:cs="仿宋"/>
          <w:b/>
          <w:bCs/>
          <w:color w:val="FF0000"/>
          <w:sz w:val="28"/>
          <w:szCs w:val="28"/>
        </w:rPr>
        <w:t>电子报价</w:t>
      </w:r>
      <w:r>
        <w:rPr>
          <w:rFonts w:hint="eastAsia" w:ascii="仿宋" w:hAnsi="仿宋" w:eastAsia="仿宋" w:cs="仿宋"/>
          <w:b/>
          <w:bCs/>
          <w:color w:val="FF0000"/>
          <w:sz w:val="28"/>
          <w:szCs w:val="28"/>
          <w:lang w:eastAsia="zh-CN"/>
        </w:rPr>
        <w:t>，</w:t>
      </w:r>
      <w:r>
        <w:rPr>
          <w:rFonts w:hint="eastAsia" w:ascii="仿宋" w:hAnsi="仿宋" w:eastAsia="仿宋" w:cs="仿宋"/>
          <w:b/>
          <w:bCs/>
          <w:color w:val="FF0000"/>
          <w:sz w:val="28"/>
          <w:szCs w:val="28"/>
          <w:lang w:val="en-US" w:eastAsia="zh-CN"/>
        </w:rPr>
        <w:t>U盘单独密封</w:t>
      </w:r>
      <w:r>
        <w:rPr>
          <w:rFonts w:hint="eastAsia" w:ascii="仿宋" w:hAnsi="仿宋" w:eastAsia="仿宋" w:cs="仿宋"/>
          <w:sz w:val="28"/>
          <w:szCs w:val="28"/>
        </w:rPr>
        <w:t>）</w:t>
      </w:r>
    </w:p>
    <w:p w14:paraId="11D4DA37">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4、参与供应商应符合《政府采购法》第二十二条的相关资质要求，具备相关资质。并提供相关证明材料或承诺函。 </w:t>
      </w:r>
    </w:p>
    <w:p w14:paraId="18720D96">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5、拟参与本项目的供应商如需了解项目情况，自行对接该项目负责人了解相关信息。</w:t>
      </w:r>
    </w:p>
    <w:p w14:paraId="053AA85D">
      <w:pPr>
        <w:spacing w:line="360" w:lineRule="auto"/>
        <w:ind w:firstLine="560" w:firstLineChars="200"/>
        <w:jc w:val="left"/>
        <w:rPr>
          <w:color w:val="auto"/>
        </w:rPr>
      </w:pPr>
      <w:r>
        <w:rPr>
          <w:rFonts w:hint="eastAsia" w:ascii="仿宋" w:hAnsi="仿宋" w:eastAsia="仿宋" w:cs="仿宋"/>
          <w:color w:val="auto"/>
          <w:sz w:val="28"/>
          <w:szCs w:val="28"/>
          <w:lang w:val="en-US" w:eastAsia="zh-CN"/>
        </w:rPr>
        <w:t>6、所有递交资料及相关证明材料必须加盖供应商鲜章有效。</w:t>
      </w:r>
    </w:p>
    <w:p w14:paraId="53F6BAEA">
      <w:pPr>
        <w:numPr>
          <w:ilvl w:val="0"/>
          <w:numId w:val="2"/>
        </w:numPr>
        <w:spacing w:line="56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本次公开询价结果只作为本项目采购预算价，不作为成交价。</w:t>
      </w:r>
    </w:p>
    <w:p w14:paraId="08556C05">
      <w:pPr>
        <w:numPr>
          <w:ilvl w:val="0"/>
          <w:numId w:val="2"/>
        </w:numPr>
        <w:spacing w:line="56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其他事项</w:t>
      </w:r>
    </w:p>
    <w:p w14:paraId="68FD5C6A">
      <w:pPr>
        <w:spacing w:line="360" w:lineRule="auto"/>
        <w:ind w:firstLine="560" w:firstLineChars="200"/>
        <w:jc w:val="left"/>
        <w:rPr>
          <w:rFonts w:hint="default" w:ascii="仿宋" w:hAnsi="仿宋" w:eastAsia="仿宋" w:cs="仿宋"/>
          <w:color w:val="auto"/>
          <w:sz w:val="28"/>
          <w:szCs w:val="28"/>
          <w:lang w:val="en-US" w:eastAsia="zh-CN"/>
        </w:rPr>
      </w:pPr>
      <w:bookmarkStart w:id="0" w:name="_Toc20665"/>
      <w:bookmarkStart w:id="1" w:name="_Toc20249"/>
      <w:r>
        <w:rPr>
          <w:rFonts w:hint="eastAsia" w:ascii="仿宋" w:hAnsi="仿宋" w:eastAsia="仿宋" w:cs="仿宋"/>
          <w:color w:val="auto"/>
          <w:sz w:val="28"/>
          <w:szCs w:val="28"/>
          <w:lang w:val="en-US" w:eastAsia="zh-CN"/>
        </w:rPr>
        <w:t>1、报名资料接收时间：（2026年6月15日-2026年6月18日；文件接收截止日期：2026年6月23日16：00）递交资料人员须为法人或授权委托人并提供证明文件查看。报名登记表见附件3。</w:t>
      </w:r>
    </w:p>
    <w:p w14:paraId="454F1550">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2、公示人：成都市新津区中医医院 地址：成都市新津区西创大道1389号</w:t>
      </w:r>
    </w:p>
    <w:p w14:paraId="35C790C4">
      <w:pPr>
        <w:spacing w:line="360" w:lineRule="auto"/>
        <w:ind w:firstLine="560" w:firstLineChars="200"/>
        <w:jc w:val="left"/>
        <w:rPr>
          <w:rFonts w:hint="default" w:hAnsi="宋体" w:cs="仿宋_GB2312"/>
          <w:color w:val="auto"/>
          <w:sz w:val="28"/>
          <w:szCs w:val="28"/>
          <w:lang w:val="en-US" w:eastAsia="zh-CN"/>
        </w:rPr>
      </w:pPr>
      <w:r>
        <w:rPr>
          <w:rFonts w:hint="eastAsia" w:ascii="仿宋" w:hAnsi="仿宋" w:eastAsia="仿宋" w:cs="仿宋"/>
          <w:color w:val="auto"/>
          <w:sz w:val="28"/>
          <w:szCs w:val="28"/>
          <w:lang w:val="en-US" w:eastAsia="zh-CN"/>
        </w:rPr>
        <w:t>3、报名联系人：潘老师、周老师028-82526150 ；项目咨询联系人：赵老师，13518168587</w:t>
      </w:r>
    </w:p>
    <w:p w14:paraId="56EC0838">
      <w:pPr>
        <w:spacing w:line="360" w:lineRule="auto"/>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4、报名供应商可通过邮箱845865477@qq.com报名。报名需提交报名登记表及登记表要求的相关资质资料（盖公章）。</w:t>
      </w:r>
    </w:p>
    <w:p w14:paraId="69051BC5">
      <w:pPr>
        <w:numPr>
          <w:ilvl w:val="0"/>
          <w:numId w:val="0"/>
        </w:numPr>
        <w:spacing w:line="560" w:lineRule="exact"/>
        <w:rPr>
          <w:rFonts w:hint="eastAsia" w:ascii="仿宋" w:hAnsi="仿宋" w:eastAsia="仿宋" w:cs="仿宋"/>
          <w:b/>
          <w:bCs/>
          <w:color w:val="auto"/>
          <w:sz w:val="32"/>
          <w:szCs w:val="32"/>
          <w:lang w:val="en-US" w:eastAsia="zh-CN"/>
        </w:rPr>
      </w:pPr>
    </w:p>
    <w:p w14:paraId="6C596645">
      <w:pPr>
        <w:numPr>
          <w:ilvl w:val="0"/>
          <w:numId w:val="0"/>
        </w:numPr>
        <w:spacing w:line="560" w:lineRule="exact"/>
        <w:rPr>
          <w:rFonts w:hint="eastAsia" w:ascii="仿宋" w:hAnsi="仿宋" w:eastAsia="仿宋" w:cs="仿宋"/>
          <w:b/>
          <w:bCs/>
          <w:color w:val="auto"/>
          <w:sz w:val="32"/>
          <w:szCs w:val="32"/>
          <w:lang w:val="en-US" w:eastAsia="zh-CN"/>
        </w:rPr>
      </w:pPr>
    </w:p>
    <w:p w14:paraId="290D44DF">
      <w:pPr>
        <w:numPr>
          <w:ilvl w:val="0"/>
          <w:numId w:val="0"/>
        </w:numPr>
        <w:spacing w:line="560" w:lineRule="exact"/>
        <w:rPr>
          <w:rFonts w:hint="eastAsia" w:ascii="仿宋" w:hAnsi="仿宋" w:eastAsia="仿宋" w:cs="仿宋"/>
          <w:b/>
          <w:bCs/>
          <w:color w:val="auto"/>
          <w:sz w:val="32"/>
          <w:szCs w:val="32"/>
          <w:lang w:val="en-US" w:eastAsia="zh-CN"/>
        </w:rPr>
      </w:pPr>
    </w:p>
    <w:p w14:paraId="3B97DEFB">
      <w:pPr>
        <w:numPr>
          <w:ilvl w:val="0"/>
          <w:numId w:val="0"/>
        </w:numPr>
        <w:spacing w:line="560" w:lineRule="exact"/>
        <w:rPr>
          <w:rFonts w:hint="eastAsia" w:ascii="仿宋" w:hAnsi="仿宋" w:eastAsia="仿宋" w:cs="仿宋"/>
          <w:b/>
          <w:bCs/>
          <w:color w:val="auto"/>
          <w:sz w:val="32"/>
          <w:szCs w:val="32"/>
          <w:lang w:val="en-US" w:eastAsia="zh-CN"/>
        </w:rPr>
      </w:pPr>
    </w:p>
    <w:p w14:paraId="074C1B3A">
      <w:pPr>
        <w:numPr>
          <w:ilvl w:val="0"/>
          <w:numId w:val="0"/>
        </w:numPr>
        <w:spacing w:line="560" w:lineRule="exact"/>
        <w:rPr>
          <w:rFonts w:hint="eastAsia" w:ascii="仿宋" w:hAnsi="仿宋" w:eastAsia="仿宋" w:cs="仿宋"/>
          <w:b/>
          <w:bCs/>
          <w:color w:val="auto"/>
          <w:sz w:val="32"/>
          <w:szCs w:val="32"/>
          <w:lang w:val="en-US" w:eastAsia="zh-CN"/>
        </w:rPr>
      </w:pPr>
    </w:p>
    <w:p w14:paraId="4BCED486">
      <w:pPr>
        <w:pStyle w:val="7"/>
        <w:rPr>
          <w:rFonts w:hint="eastAsia" w:ascii="仿宋" w:hAnsi="仿宋" w:eastAsia="仿宋" w:cs="仿宋"/>
          <w:b/>
          <w:bCs/>
          <w:color w:val="auto"/>
          <w:sz w:val="32"/>
          <w:szCs w:val="32"/>
          <w:lang w:val="en-US" w:eastAsia="zh-CN"/>
        </w:rPr>
      </w:pPr>
    </w:p>
    <w:p w14:paraId="659C3763">
      <w:pPr>
        <w:numPr>
          <w:ilvl w:val="0"/>
          <w:numId w:val="0"/>
        </w:numPr>
        <w:spacing w:line="560" w:lineRule="exact"/>
        <w:rPr>
          <w:rFonts w:hint="eastAsia" w:ascii="仿宋" w:hAnsi="仿宋" w:eastAsia="仿宋" w:cs="仿宋"/>
          <w:b/>
          <w:bCs/>
          <w:color w:val="auto"/>
          <w:sz w:val="32"/>
          <w:szCs w:val="32"/>
          <w:lang w:val="en-US" w:eastAsia="zh-CN"/>
        </w:rPr>
      </w:pPr>
    </w:p>
    <w:p w14:paraId="0810B193">
      <w:pPr>
        <w:numPr>
          <w:ilvl w:val="0"/>
          <w:numId w:val="0"/>
        </w:numPr>
        <w:spacing w:line="56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附件1：</w:t>
      </w:r>
    </w:p>
    <w:p w14:paraId="58BFCBBE">
      <w:pPr>
        <w:spacing w:line="500" w:lineRule="exact"/>
        <w:rPr>
          <w:rFonts w:hint="eastAsia" w:ascii="黑体" w:hAnsi="黑体" w:eastAsia="黑体" w:cs="黑体"/>
          <w:sz w:val="32"/>
          <w:szCs w:val="32"/>
          <w:lang w:val="en-US" w:eastAsia="zh-CN"/>
        </w:rPr>
      </w:pPr>
      <w:r>
        <w:rPr>
          <w:rFonts w:hint="eastAsia" w:ascii="黑体" w:hAnsi="黑体" w:eastAsia="黑体" w:cs="黑体"/>
          <w:sz w:val="32"/>
          <w:szCs w:val="32"/>
        </w:rPr>
        <w:t>一、</w:t>
      </w:r>
      <w:r>
        <w:rPr>
          <w:rFonts w:hint="eastAsia" w:ascii="黑体" w:hAnsi="黑体" w:eastAsia="黑体" w:cs="黑体"/>
          <w:sz w:val="32"/>
          <w:szCs w:val="32"/>
          <w:lang w:val="en-US" w:eastAsia="zh-CN"/>
        </w:rPr>
        <w:t>项目概况</w:t>
      </w:r>
    </w:p>
    <w:p w14:paraId="2FDB7A9D">
      <w:pPr>
        <w:keepNext w:val="0"/>
        <w:keepLines w:val="0"/>
        <w:widowControl/>
        <w:suppressLineNumbers w:val="0"/>
        <w:spacing w:line="360" w:lineRule="auto"/>
        <w:ind w:firstLine="640" w:firstLineChars="200"/>
        <w:jc w:val="left"/>
        <w:rPr>
          <w:rFonts w:hint="eastAsia"/>
          <w:lang w:val="en-US" w:eastAsia="zh-CN"/>
        </w:rPr>
      </w:pPr>
      <w:r>
        <w:rPr>
          <w:rFonts w:hint="eastAsia" w:ascii="仿宋" w:hAnsi="仿宋" w:eastAsia="仿宋" w:cs="仿宋"/>
          <w:kern w:val="0"/>
          <w:sz w:val="32"/>
          <w:szCs w:val="32"/>
          <w:lang w:val="en-US" w:eastAsia="zh-CN" w:bidi="ar-SA"/>
        </w:rPr>
        <w:t>为促进新津区中医医院高质量发展，解决患者医保报销等问题。随着病理学科的发展，科学技术水平的提高，对于临床诊断的作用也越来越大，病理诊断工作属于医疗过程非常重要的环节，由于它的准确性和重要性，使得医院病理科检验流程的运转情况直接关系着医院整体效率，因此，提高检验质量、人才的培养和新技术、新设备的引进，分析医疗业务流程，进行病理业务流程优化势在必行。成都市新津区中医医院病理科于2021年7月15日运行至今，目前仅有一名病理医生服务于临床，无法保证所有病理标本的报告发放。特别是遇到疑难病理及特殊标本时必须依赖会诊进行报告发放。</w:t>
      </w:r>
    </w:p>
    <w:p w14:paraId="6A0AB451">
      <w:pPr>
        <w:spacing w:line="600" w:lineRule="exact"/>
        <w:rPr>
          <w:rFonts w:hint="eastAsia" w:ascii="黑体" w:hAnsi="黑体" w:eastAsia="黑体" w:cs="黑体"/>
          <w:bCs/>
          <w:color w:val="auto"/>
          <w:kern w:val="0"/>
          <w:sz w:val="32"/>
          <w:szCs w:val="32"/>
          <w:lang w:val="en-US" w:eastAsia="zh-CN" w:bidi="ar-SA"/>
        </w:rPr>
      </w:pPr>
      <w:r>
        <w:rPr>
          <w:rFonts w:hint="eastAsia" w:ascii="黑体" w:hAnsi="黑体" w:eastAsia="黑体" w:cs="黑体"/>
          <w:sz w:val="32"/>
          <w:szCs w:val="32"/>
        </w:rPr>
        <w:t>二、</w:t>
      </w:r>
      <w:r>
        <w:rPr>
          <w:rFonts w:hint="eastAsia" w:ascii="黑体" w:hAnsi="黑体" w:eastAsia="黑体" w:cs="黑体"/>
          <w:bCs/>
          <w:color w:val="auto"/>
          <w:kern w:val="0"/>
          <w:sz w:val="32"/>
          <w:szCs w:val="32"/>
          <w:lang w:val="en-US" w:eastAsia="zh-CN" w:bidi="ar-SA"/>
        </w:rPr>
        <w:t>采购项目服务内容及要求</w:t>
      </w:r>
    </w:p>
    <w:p w14:paraId="25D0D7C8">
      <w:pPr>
        <w:keepNext w:val="0"/>
        <w:keepLines w:val="0"/>
        <w:widowControl/>
        <w:suppressLineNumbers w:val="0"/>
        <w:spacing w:line="360" w:lineRule="auto"/>
        <w:jc w:val="left"/>
        <w:rPr>
          <w:rFonts w:hint="eastAsia" w:ascii="仿宋" w:hAnsi="仿宋" w:eastAsia="仿宋" w:cs="仿宋"/>
          <w:color w:val="000000"/>
          <w:kern w:val="2"/>
          <w:sz w:val="28"/>
          <w:szCs w:val="28"/>
          <w:lang w:val="en-US" w:eastAsia="zh-CN" w:bidi="ar-SA"/>
        </w:rPr>
      </w:pPr>
      <w:r>
        <w:rPr>
          <w:rFonts w:hint="eastAsia" w:ascii="黑体" w:hAnsi="黑体" w:eastAsia="黑体" w:cs="黑体"/>
          <w:sz w:val="32"/>
          <w:szCs w:val="32"/>
        </w:rPr>
        <w:t>★</w:t>
      </w:r>
      <w:bookmarkStart w:id="2" w:name="_GoBack"/>
      <w:bookmarkEnd w:id="2"/>
      <w:r>
        <w:rPr>
          <w:rFonts w:hint="eastAsia" w:ascii="仿宋" w:hAnsi="仿宋" w:eastAsia="仿宋" w:cs="仿宋"/>
          <w:color w:val="000000"/>
          <w:kern w:val="2"/>
          <w:sz w:val="28"/>
          <w:szCs w:val="28"/>
          <w:lang w:val="en-US" w:eastAsia="zh-CN" w:bidi="ar-SA"/>
        </w:rPr>
        <w:t>（一）采购清单：</w:t>
      </w:r>
    </w:p>
    <w:tbl>
      <w:tblPr>
        <w:tblStyle w:val="13"/>
        <w:tblW w:w="78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7"/>
        <w:gridCol w:w="3216"/>
        <w:gridCol w:w="1299"/>
        <w:gridCol w:w="1379"/>
        <w:gridCol w:w="1181"/>
      </w:tblGrid>
      <w:tr w14:paraId="4D358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17" w:type="dxa"/>
            <w:tcBorders>
              <w:top w:val="single" w:color="000000" w:sz="12" w:space="0"/>
              <w:left w:val="single" w:color="000000" w:sz="12" w:space="0"/>
              <w:bottom w:val="nil"/>
              <w:right w:val="nil"/>
            </w:tcBorders>
            <w:shd w:val="clear" w:color="auto" w:fill="FFFFFF"/>
            <w:noWrap w:val="0"/>
            <w:tcMar>
              <w:top w:w="-1" w:type="dxa"/>
              <w:left w:w="-1" w:type="dxa"/>
              <w:bottom w:w="-1" w:type="dxa"/>
              <w:right w:w="-1" w:type="dxa"/>
            </w:tcMar>
            <w:vAlign w:val="center"/>
          </w:tcPr>
          <w:p w14:paraId="6597E2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序号</w:t>
            </w:r>
          </w:p>
        </w:tc>
        <w:tc>
          <w:tcPr>
            <w:tcW w:w="3216" w:type="dxa"/>
            <w:tcBorders>
              <w:top w:val="single" w:color="000000" w:sz="12" w:space="0"/>
              <w:left w:val="single" w:color="000000" w:sz="4" w:space="0"/>
              <w:bottom w:val="nil"/>
              <w:right w:val="nil"/>
            </w:tcBorders>
            <w:noWrap w:val="0"/>
            <w:tcMar>
              <w:top w:w="-1" w:type="dxa"/>
              <w:left w:w="-1" w:type="dxa"/>
              <w:bottom w:w="-1" w:type="dxa"/>
              <w:right w:w="-1" w:type="dxa"/>
            </w:tcMar>
            <w:vAlign w:val="center"/>
          </w:tcPr>
          <w:p w14:paraId="1AEBD84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项目</w:t>
            </w:r>
          </w:p>
        </w:tc>
        <w:tc>
          <w:tcPr>
            <w:tcW w:w="1299" w:type="dxa"/>
            <w:tcBorders>
              <w:top w:val="single" w:color="000000" w:sz="12" w:space="0"/>
              <w:left w:val="single" w:color="000000" w:sz="4" w:space="0"/>
              <w:bottom w:val="nil"/>
              <w:right w:val="nil"/>
            </w:tcBorders>
            <w:noWrap w:val="0"/>
            <w:tcMar>
              <w:top w:w="-1" w:type="dxa"/>
              <w:left w:w="-1" w:type="dxa"/>
              <w:bottom w:w="-1" w:type="dxa"/>
              <w:right w:w="-1" w:type="dxa"/>
            </w:tcMar>
            <w:vAlign w:val="center"/>
          </w:tcPr>
          <w:p w14:paraId="401D62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物价收费</w:t>
            </w:r>
          </w:p>
        </w:tc>
        <w:tc>
          <w:tcPr>
            <w:tcW w:w="0" w:type="auto"/>
            <w:tcBorders>
              <w:top w:val="single" w:color="000000" w:sz="12" w:space="0"/>
              <w:left w:val="single" w:color="000000" w:sz="4" w:space="0"/>
              <w:bottom w:val="nil"/>
              <w:right w:val="single" w:color="auto" w:sz="4" w:space="0"/>
            </w:tcBorders>
            <w:noWrap w:val="0"/>
            <w:tcMar>
              <w:top w:w="-1" w:type="dxa"/>
              <w:left w:w="-1" w:type="dxa"/>
              <w:bottom w:w="-1" w:type="dxa"/>
              <w:right w:w="-1" w:type="dxa"/>
            </w:tcMar>
            <w:vAlign w:val="center"/>
          </w:tcPr>
          <w:p w14:paraId="72839A6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计价单位</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EF116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预估数量</w:t>
            </w:r>
          </w:p>
        </w:tc>
      </w:tr>
      <w:tr w14:paraId="13A06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5D9B67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w:t>
            </w:r>
          </w:p>
        </w:tc>
        <w:tc>
          <w:tcPr>
            <w:tcW w:w="3216" w:type="dxa"/>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2CA2D5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体液细胞学检查与诊断</w:t>
            </w:r>
          </w:p>
        </w:tc>
        <w:tc>
          <w:tcPr>
            <w:tcW w:w="1299" w:type="dxa"/>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2CBC884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68</w:t>
            </w:r>
          </w:p>
        </w:tc>
        <w:tc>
          <w:tcPr>
            <w:tcW w:w="0" w:type="auto"/>
            <w:tcBorders>
              <w:top w:val="single" w:color="000000" w:sz="4" w:space="0"/>
              <w:left w:val="single" w:color="000000" w:sz="4" w:space="0"/>
              <w:bottom w:val="nil"/>
              <w:right w:val="single" w:color="auto" w:sz="4" w:space="0"/>
            </w:tcBorders>
            <w:noWrap w:val="0"/>
            <w:tcMar>
              <w:top w:w="-1" w:type="dxa"/>
              <w:left w:w="-1" w:type="dxa"/>
              <w:bottom w:w="-1" w:type="dxa"/>
              <w:right w:w="-1" w:type="dxa"/>
            </w:tcMar>
            <w:vAlign w:val="center"/>
          </w:tcPr>
          <w:p w14:paraId="12BB4E6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5F5316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1000</w:t>
            </w:r>
          </w:p>
        </w:tc>
      </w:tr>
      <w:tr w14:paraId="1FEBA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2E2A25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w:t>
            </w:r>
          </w:p>
        </w:tc>
        <w:tc>
          <w:tcPr>
            <w:tcW w:w="3216" w:type="dxa"/>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E00CA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细针穿刺细胞学检查与诊断</w:t>
            </w:r>
          </w:p>
        </w:tc>
        <w:tc>
          <w:tcPr>
            <w:tcW w:w="1299" w:type="dxa"/>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131EDB4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95</w:t>
            </w:r>
          </w:p>
        </w:tc>
        <w:tc>
          <w:tcPr>
            <w:tcW w:w="0" w:type="auto"/>
            <w:tcBorders>
              <w:top w:val="single" w:color="000000" w:sz="4" w:space="0"/>
              <w:left w:val="single" w:color="000000" w:sz="4" w:space="0"/>
              <w:bottom w:val="nil"/>
              <w:right w:val="single" w:color="auto" w:sz="4" w:space="0"/>
            </w:tcBorders>
            <w:noWrap w:val="0"/>
            <w:tcMar>
              <w:top w:w="-1" w:type="dxa"/>
              <w:left w:w="-1" w:type="dxa"/>
              <w:bottom w:w="-1" w:type="dxa"/>
              <w:right w:w="-1" w:type="dxa"/>
            </w:tcMar>
            <w:vAlign w:val="center"/>
          </w:tcPr>
          <w:p w14:paraId="39BE6D6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44FEB3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1000</w:t>
            </w:r>
          </w:p>
        </w:tc>
      </w:tr>
      <w:tr w14:paraId="3CB5B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58872E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w:t>
            </w:r>
          </w:p>
        </w:tc>
        <w:tc>
          <w:tcPr>
            <w:tcW w:w="3216" w:type="dxa"/>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780DD2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脱落细胞学检查与诊断</w:t>
            </w:r>
          </w:p>
        </w:tc>
        <w:tc>
          <w:tcPr>
            <w:tcW w:w="1299" w:type="dxa"/>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081D20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49</w:t>
            </w:r>
          </w:p>
        </w:tc>
        <w:tc>
          <w:tcPr>
            <w:tcW w:w="0" w:type="auto"/>
            <w:tcBorders>
              <w:top w:val="single" w:color="000000" w:sz="4" w:space="0"/>
              <w:left w:val="single" w:color="000000" w:sz="4" w:space="0"/>
              <w:bottom w:val="nil"/>
              <w:right w:val="single" w:color="auto" w:sz="4" w:space="0"/>
            </w:tcBorders>
            <w:noWrap w:val="0"/>
            <w:tcMar>
              <w:top w:w="-1" w:type="dxa"/>
              <w:left w:w="-1" w:type="dxa"/>
              <w:bottom w:w="-1" w:type="dxa"/>
              <w:right w:w="-1" w:type="dxa"/>
            </w:tcMar>
            <w:vAlign w:val="center"/>
          </w:tcPr>
          <w:p w14:paraId="5D6AB0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29FF41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1000</w:t>
            </w:r>
          </w:p>
        </w:tc>
      </w:tr>
      <w:tr w14:paraId="51E37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0BE5254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4</w:t>
            </w:r>
          </w:p>
        </w:tc>
        <w:tc>
          <w:tcPr>
            <w:tcW w:w="3216" w:type="dxa"/>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0A4BA3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穿刺组织活检检查与诊断</w:t>
            </w:r>
          </w:p>
        </w:tc>
        <w:tc>
          <w:tcPr>
            <w:tcW w:w="1299" w:type="dxa"/>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098EEB2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120</w:t>
            </w:r>
          </w:p>
        </w:tc>
        <w:tc>
          <w:tcPr>
            <w:tcW w:w="0" w:type="auto"/>
            <w:tcBorders>
              <w:top w:val="single" w:color="000000" w:sz="4" w:space="0"/>
              <w:left w:val="single" w:color="000000" w:sz="4" w:space="0"/>
              <w:bottom w:val="nil"/>
              <w:right w:val="single" w:color="auto" w:sz="4" w:space="0"/>
            </w:tcBorders>
            <w:noWrap w:val="0"/>
            <w:tcMar>
              <w:top w:w="-1" w:type="dxa"/>
              <w:left w:w="-1" w:type="dxa"/>
              <w:bottom w:w="-1" w:type="dxa"/>
              <w:right w:w="-1" w:type="dxa"/>
            </w:tcMar>
            <w:vAlign w:val="center"/>
          </w:tcPr>
          <w:p w14:paraId="784AF8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5998C0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600</w:t>
            </w:r>
          </w:p>
        </w:tc>
      </w:tr>
      <w:tr w14:paraId="1727F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20F84CC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w:t>
            </w:r>
          </w:p>
        </w:tc>
        <w:tc>
          <w:tcPr>
            <w:tcW w:w="3216" w:type="dxa"/>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0327EC8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内镜组织活检检查与诊断</w:t>
            </w:r>
          </w:p>
        </w:tc>
        <w:tc>
          <w:tcPr>
            <w:tcW w:w="1299" w:type="dxa"/>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1941DC7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90</w:t>
            </w:r>
          </w:p>
        </w:tc>
        <w:tc>
          <w:tcPr>
            <w:tcW w:w="0" w:type="auto"/>
            <w:tcBorders>
              <w:top w:val="single" w:color="000000" w:sz="4" w:space="0"/>
              <w:left w:val="single" w:color="000000" w:sz="4" w:space="0"/>
              <w:bottom w:val="nil"/>
              <w:right w:val="single" w:color="auto" w:sz="4" w:space="0"/>
            </w:tcBorders>
            <w:noWrap w:val="0"/>
            <w:tcMar>
              <w:top w:w="-1" w:type="dxa"/>
              <w:left w:w="-1" w:type="dxa"/>
              <w:bottom w:w="-1" w:type="dxa"/>
              <w:right w:w="-1" w:type="dxa"/>
            </w:tcMar>
            <w:vAlign w:val="center"/>
          </w:tcPr>
          <w:p w14:paraId="2D2FB0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99049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1000</w:t>
            </w:r>
          </w:p>
        </w:tc>
      </w:tr>
      <w:tr w14:paraId="12A94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7E6BC8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6</w:t>
            </w:r>
          </w:p>
        </w:tc>
        <w:tc>
          <w:tcPr>
            <w:tcW w:w="3216" w:type="dxa"/>
            <w:tcBorders>
              <w:top w:val="single" w:color="000000" w:sz="4" w:space="0"/>
              <w:left w:val="single" w:color="000000" w:sz="4" w:space="0"/>
              <w:bottom w:val="single" w:color="auto" w:sz="4" w:space="0"/>
              <w:right w:val="nil"/>
            </w:tcBorders>
            <w:noWrap w:val="0"/>
            <w:tcMar>
              <w:top w:w="-1" w:type="dxa"/>
              <w:left w:w="-1" w:type="dxa"/>
              <w:bottom w:w="-1" w:type="dxa"/>
              <w:right w:w="-1" w:type="dxa"/>
            </w:tcMar>
            <w:vAlign w:val="center"/>
          </w:tcPr>
          <w:p w14:paraId="2CB8C0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局部切除组织活检检查与诊断</w:t>
            </w:r>
          </w:p>
        </w:tc>
        <w:tc>
          <w:tcPr>
            <w:tcW w:w="1299" w:type="dxa"/>
            <w:tcBorders>
              <w:top w:val="single" w:color="000000" w:sz="4" w:space="0"/>
              <w:left w:val="single" w:color="000000" w:sz="4" w:space="0"/>
              <w:bottom w:val="single" w:color="auto" w:sz="4" w:space="0"/>
              <w:right w:val="nil"/>
            </w:tcBorders>
            <w:noWrap w:val="0"/>
            <w:tcMar>
              <w:top w:w="-1" w:type="dxa"/>
              <w:left w:w="-1" w:type="dxa"/>
              <w:bottom w:w="-1" w:type="dxa"/>
              <w:right w:w="-1" w:type="dxa"/>
            </w:tcMar>
            <w:vAlign w:val="center"/>
          </w:tcPr>
          <w:p w14:paraId="50A402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90</w:t>
            </w:r>
          </w:p>
        </w:tc>
        <w:tc>
          <w:tcPr>
            <w:tcW w:w="0" w:type="auto"/>
            <w:tcBorders>
              <w:top w:val="single" w:color="000000" w:sz="4" w:space="0"/>
              <w:left w:val="single" w:color="000000" w:sz="4" w:space="0"/>
              <w:bottom w:val="single" w:color="auto" w:sz="4" w:space="0"/>
              <w:right w:val="single" w:color="auto" w:sz="4" w:space="0"/>
            </w:tcBorders>
            <w:noWrap w:val="0"/>
            <w:tcMar>
              <w:top w:w="-1" w:type="dxa"/>
              <w:left w:w="-1" w:type="dxa"/>
              <w:bottom w:w="-1" w:type="dxa"/>
              <w:right w:w="-1" w:type="dxa"/>
            </w:tcMar>
            <w:vAlign w:val="center"/>
          </w:tcPr>
          <w:p w14:paraId="69AD4E7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每个部位</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59A67B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500</w:t>
            </w:r>
          </w:p>
        </w:tc>
      </w:tr>
      <w:tr w14:paraId="1C85A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shd w:val="clear" w:color="auto" w:fill="FFFFFF"/>
            <w:noWrap w:val="0"/>
            <w:tcMar>
              <w:top w:w="-1" w:type="dxa"/>
              <w:left w:w="-1" w:type="dxa"/>
              <w:bottom w:w="-1" w:type="dxa"/>
              <w:right w:w="-1" w:type="dxa"/>
            </w:tcMar>
            <w:vAlign w:val="center"/>
          </w:tcPr>
          <w:p w14:paraId="15417C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7</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417CECD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骨髓组织活检检查与诊断</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1E5069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120</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5DF301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95186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w:t>
            </w:r>
          </w:p>
        </w:tc>
      </w:tr>
      <w:tr w14:paraId="56920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shd w:val="clear" w:color="auto" w:fill="FFFFFF"/>
            <w:noWrap w:val="0"/>
            <w:tcMar>
              <w:top w:w="-1" w:type="dxa"/>
              <w:left w:w="-1" w:type="dxa"/>
              <w:bottom w:w="-1" w:type="dxa"/>
              <w:right w:w="-1" w:type="dxa"/>
            </w:tcMar>
            <w:vAlign w:val="center"/>
          </w:tcPr>
          <w:p w14:paraId="1FFEA0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8</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5AC7700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手术标本检查与诊断</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145E1AC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81</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50BE2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E646D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1500</w:t>
            </w:r>
          </w:p>
        </w:tc>
      </w:tr>
      <w:tr w14:paraId="48CF1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shd w:val="clear" w:color="auto" w:fill="FFFFFF"/>
            <w:noWrap w:val="0"/>
            <w:tcMar>
              <w:top w:w="-1" w:type="dxa"/>
              <w:left w:w="-1" w:type="dxa"/>
              <w:bottom w:w="-1" w:type="dxa"/>
              <w:right w:w="-1" w:type="dxa"/>
            </w:tcMar>
            <w:vAlign w:val="center"/>
          </w:tcPr>
          <w:p w14:paraId="4F84F4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9</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21449DD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截肢标本病理检查与诊断</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71BC4A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120</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DF591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每肢、每</w:t>
            </w:r>
            <w:r>
              <w:rPr>
                <w:rFonts w:hint="eastAsia" w:ascii="仿宋" w:hAnsi="仿宋" w:eastAsia="仿宋" w:cs="仿宋"/>
                <w:color w:val="000000"/>
                <w:kern w:val="2"/>
                <w:sz w:val="28"/>
                <w:szCs w:val="28"/>
                <w:lang w:val="en-US" w:eastAsia="zh-CN" w:bidi="ar-SA"/>
              </w:rPr>
              <w:br w:type="textWrapping"/>
            </w:r>
            <w:r>
              <w:rPr>
                <w:rFonts w:hint="eastAsia" w:ascii="仿宋" w:hAnsi="仿宋" w:eastAsia="仿宋" w:cs="仿宋"/>
                <w:color w:val="000000"/>
                <w:kern w:val="2"/>
                <w:sz w:val="28"/>
                <w:szCs w:val="28"/>
                <w:lang w:val="en-US" w:eastAsia="zh-CN" w:bidi="ar-SA"/>
              </w:rPr>
              <w:t>指(趾)</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5D2EB2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w:t>
            </w:r>
          </w:p>
        </w:tc>
      </w:tr>
      <w:tr w14:paraId="3F20F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shd w:val="clear" w:color="auto" w:fill="FFFFFF"/>
            <w:noWrap w:val="0"/>
            <w:tcMar>
              <w:top w:w="-1" w:type="dxa"/>
              <w:left w:w="-1" w:type="dxa"/>
              <w:bottom w:w="-1" w:type="dxa"/>
              <w:right w:w="-1" w:type="dxa"/>
            </w:tcMar>
            <w:vAlign w:val="center"/>
          </w:tcPr>
          <w:p w14:paraId="5EFECB5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7E2B192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冰冻切片检查与诊断</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EA875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300</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758A07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499D1B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70</w:t>
            </w:r>
          </w:p>
        </w:tc>
      </w:tr>
      <w:tr w14:paraId="0E5FD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shd w:val="clear" w:color="auto" w:fill="FFFFFF"/>
            <w:noWrap w:val="0"/>
            <w:tcMar>
              <w:top w:w="-1" w:type="dxa"/>
              <w:left w:w="-1" w:type="dxa"/>
              <w:bottom w:w="-1" w:type="dxa"/>
              <w:right w:w="-1" w:type="dxa"/>
            </w:tcMar>
            <w:vAlign w:val="center"/>
          </w:tcPr>
          <w:p w14:paraId="50D9D7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11</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739E0FD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特殊染色及酶组织化学染色诊断</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A4D647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50</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9DC5EC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每个标本，每种染色</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87C18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w:t>
            </w:r>
          </w:p>
        </w:tc>
      </w:tr>
      <w:tr w14:paraId="674CA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shd w:val="clear" w:color="auto" w:fill="FFFFFF"/>
            <w:noWrap w:val="0"/>
            <w:tcMar>
              <w:top w:w="-1" w:type="dxa"/>
              <w:left w:w="-1" w:type="dxa"/>
              <w:bottom w:w="-1" w:type="dxa"/>
              <w:right w:w="-1" w:type="dxa"/>
            </w:tcMar>
            <w:vAlign w:val="center"/>
          </w:tcPr>
          <w:p w14:paraId="654EAC7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12</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483D6A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特殊染色及酶组织化学染色诊断（每个标本每种染色仪</w:t>
            </w:r>
            <w:r>
              <w:rPr>
                <w:rFonts w:hint="eastAsia" w:ascii="仿宋" w:hAnsi="仿宋" w:eastAsia="仿宋" w:cs="仿宋"/>
                <w:color w:val="000000"/>
                <w:kern w:val="2"/>
                <w:sz w:val="28"/>
                <w:szCs w:val="28"/>
                <w:lang w:val="en-US" w:eastAsia="zh-CN" w:bidi="ar-SA"/>
              </w:rPr>
              <w:br w:type="textWrapping"/>
            </w:r>
            <w:r>
              <w:rPr>
                <w:rFonts w:hint="eastAsia" w:ascii="仿宋" w:hAnsi="仿宋" w:eastAsia="仿宋" w:cs="仿宋"/>
                <w:color w:val="000000"/>
                <w:kern w:val="2"/>
                <w:sz w:val="28"/>
                <w:szCs w:val="28"/>
                <w:lang w:val="en-US" w:eastAsia="zh-CN" w:bidi="ar-SA"/>
              </w:rPr>
              <w:t>器法加</w:t>
            </w:r>
            <w:r>
              <w:rPr>
                <w:rFonts w:hint="eastAsia" w:ascii="仿宋" w:hAnsi="仿宋" w:eastAsia="仿宋" w:cs="仿宋"/>
                <w:color w:val="000000"/>
                <w:kern w:val="2"/>
                <w:sz w:val="28"/>
                <w:szCs w:val="28"/>
                <w:lang w:val="en-US" w:eastAsia="zh-CN" w:bidi="ar-SA"/>
              </w:rPr>
              <w:br w:type="textWrapping"/>
            </w:r>
            <w:r>
              <w:rPr>
                <w:rFonts w:hint="eastAsia" w:ascii="仿宋" w:hAnsi="仿宋" w:eastAsia="仿宋" w:cs="仿宋"/>
                <w:color w:val="000000"/>
                <w:kern w:val="2"/>
                <w:sz w:val="28"/>
                <w:szCs w:val="28"/>
                <w:lang w:val="en-US" w:eastAsia="zh-CN" w:bidi="ar-SA"/>
              </w:rPr>
              <w:t>收）</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5E7C29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97</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7DD0EE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每个标本，每种染色</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1D734A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w:t>
            </w:r>
          </w:p>
        </w:tc>
      </w:tr>
      <w:tr w14:paraId="015F7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shd w:val="clear" w:color="auto" w:fill="FFFFFF"/>
            <w:noWrap w:val="0"/>
            <w:tcMar>
              <w:top w:w="-1" w:type="dxa"/>
              <w:left w:w="-1" w:type="dxa"/>
              <w:bottom w:w="-1" w:type="dxa"/>
              <w:right w:w="-1" w:type="dxa"/>
            </w:tcMar>
            <w:vAlign w:val="center"/>
          </w:tcPr>
          <w:p w14:paraId="010A1F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13</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57237C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免疫组织化学染色诊断</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AA012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120</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CAC099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每个标本，每种染色</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5913ACE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3000</w:t>
            </w:r>
          </w:p>
        </w:tc>
      </w:tr>
      <w:tr w14:paraId="61BD5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shd w:val="clear" w:color="auto" w:fill="FFFFFF"/>
            <w:noWrap w:val="0"/>
            <w:tcMar>
              <w:top w:w="-1" w:type="dxa"/>
              <w:left w:w="-1" w:type="dxa"/>
              <w:bottom w:w="-1" w:type="dxa"/>
              <w:right w:w="-1" w:type="dxa"/>
            </w:tcMar>
            <w:vAlign w:val="center"/>
          </w:tcPr>
          <w:p w14:paraId="02CABD0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14</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FD2C29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液基薄层细胞制片术</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5284D9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120</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676DF69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次</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3B4CB3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1000</w:t>
            </w:r>
          </w:p>
        </w:tc>
      </w:tr>
      <w:tr w14:paraId="5CC1F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shd w:val="clear" w:color="auto" w:fill="FFFFFF"/>
            <w:noWrap w:val="0"/>
            <w:tcMar>
              <w:top w:w="-1" w:type="dxa"/>
              <w:left w:w="-1" w:type="dxa"/>
              <w:bottom w:w="-1" w:type="dxa"/>
              <w:right w:w="-1" w:type="dxa"/>
            </w:tcMar>
            <w:vAlign w:val="center"/>
          </w:tcPr>
          <w:p w14:paraId="7F7B9A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15</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26AB136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显微摄影术</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1CC819E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32</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BA902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每个视野</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2B5891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5000</w:t>
            </w:r>
          </w:p>
        </w:tc>
      </w:tr>
      <w:tr w14:paraId="63098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shd w:val="clear" w:color="auto" w:fill="FFFFFF"/>
            <w:noWrap w:val="0"/>
            <w:tcMar>
              <w:top w:w="-1" w:type="dxa"/>
              <w:left w:w="-1" w:type="dxa"/>
              <w:bottom w:w="-1" w:type="dxa"/>
              <w:right w:w="-1" w:type="dxa"/>
            </w:tcMar>
            <w:vAlign w:val="center"/>
          </w:tcPr>
          <w:p w14:paraId="588B02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16</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E9B2C6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快速石蜡切片检查与诊断</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6DCEAB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300</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561692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61A3F4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200</w:t>
            </w:r>
          </w:p>
        </w:tc>
      </w:tr>
      <w:tr w14:paraId="4A435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shd w:val="clear" w:color="auto" w:fill="FFFFFF"/>
            <w:noWrap w:val="0"/>
            <w:tcMar>
              <w:top w:w="-1" w:type="dxa"/>
              <w:left w:w="-1" w:type="dxa"/>
              <w:bottom w:w="-1" w:type="dxa"/>
              <w:right w:w="-1" w:type="dxa"/>
            </w:tcMar>
            <w:vAlign w:val="center"/>
          </w:tcPr>
          <w:p w14:paraId="7E7251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17</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63FDC93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脱氧核糖核酸（DNA）测序</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B9D38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360</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47F465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项</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48FE54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500</w:t>
            </w:r>
          </w:p>
        </w:tc>
      </w:tr>
      <w:tr w14:paraId="5988B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shd w:val="clear" w:color="auto" w:fill="FFFFFF"/>
            <w:noWrap w:val="0"/>
            <w:tcMar>
              <w:top w:w="-1" w:type="dxa"/>
              <w:left w:w="-1" w:type="dxa"/>
              <w:bottom w:w="-1" w:type="dxa"/>
              <w:right w:w="-1" w:type="dxa"/>
            </w:tcMar>
            <w:vAlign w:val="center"/>
          </w:tcPr>
          <w:p w14:paraId="32D454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18</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48D880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荧光原位杂交（FISH）检测</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27318B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1100</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0A99A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次</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20E0D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17</w:t>
            </w:r>
          </w:p>
        </w:tc>
      </w:tr>
      <w:tr w14:paraId="52756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shd w:val="clear" w:color="auto" w:fill="FFFFFF"/>
            <w:noWrap w:val="0"/>
            <w:tcMar>
              <w:top w:w="-1" w:type="dxa"/>
              <w:left w:w="-1" w:type="dxa"/>
              <w:bottom w:w="-1" w:type="dxa"/>
              <w:right w:w="-1" w:type="dxa"/>
            </w:tcMar>
            <w:vAlign w:val="center"/>
          </w:tcPr>
          <w:p w14:paraId="6A84BEE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19</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5E7BBB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全自动快速免疫组织化学染色诊断</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97993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160</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267285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次</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63B9DC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1000</w:t>
            </w:r>
          </w:p>
        </w:tc>
      </w:tr>
      <w:tr w14:paraId="1B573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shd w:val="clear" w:color="auto" w:fill="FFFFFF"/>
            <w:noWrap w:val="0"/>
            <w:tcMar>
              <w:top w:w="-1" w:type="dxa"/>
              <w:left w:w="-1" w:type="dxa"/>
              <w:bottom w:w="-1" w:type="dxa"/>
              <w:right w:w="-1" w:type="dxa"/>
            </w:tcMar>
            <w:vAlign w:val="center"/>
          </w:tcPr>
          <w:p w14:paraId="70E8FB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20</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48891C2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手术标本检查与诊断（以两个蜡块为基价，超过两个每增加个加收）</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47DF32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76622B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一个蜡块</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6DE206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500</w:t>
            </w:r>
          </w:p>
        </w:tc>
      </w:tr>
      <w:tr w14:paraId="12014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shd w:val="clear" w:color="auto" w:fill="FFFFFF"/>
            <w:noWrap w:val="0"/>
            <w:tcMar>
              <w:top w:w="-1" w:type="dxa"/>
              <w:left w:w="-1" w:type="dxa"/>
              <w:bottom w:w="-1" w:type="dxa"/>
              <w:right w:w="-1" w:type="dxa"/>
            </w:tcMar>
            <w:vAlign w:val="center"/>
          </w:tcPr>
          <w:p w14:paraId="4DC3D8F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21</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569F0D7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内镜组织活检检查与诊断（以两个蜡块为基价，超过两个每增加᳿个加收）</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6D8E25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6473D3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一个蜡块</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773B38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500</w:t>
            </w:r>
          </w:p>
        </w:tc>
      </w:tr>
      <w:tr w14:paraId="4B73D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shd w:val="clear" w:color="auto" w:fill="FFFFFF"/>
            <w:noWrap w:val="0"/>
            <w:tcMar>
              <w:top w:w="-1" w:type="dxa"/>
              <w:left w:w="-1" w:type="dxa"/>
              <w:bottom w:w="-1" w:type="dxa"/>
              <w:right w:w="-1" w:type="dxa"/>
            </w:tcMar>
            <w:vAlign w:val="center"/>
          </w:tcPr>
          <w:p w14:paraId="1684E2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22</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1AD029C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局部切除组织活检检查与诊断（以两个蜡块为基价，超过两个每增加᳿个加收）</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5434FA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4E90700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一个蜡块</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ACAA47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500</w:t>
            </w:r>
          </w:p>
        </w:tc>
      </w:tr>
      <w:tr w14:paraId="44890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shd w:val="clear" w:color="auto" w:fill="FFFFFF"/>
            <w:noWrap w:val="0"/>
            <w:tcMar>
              <w:top w:w="-1" w:type="dxa"/>
              <w:left w:w="-1" w:type="dxa"/>
              <w:bottom w:w="-1" w:type="dxa"/>
              <w:right w:w="-1" w:type="dxa"/>
            </w:tcMar>
            <w:vAlign w:val="center"/>
          </w:tcPr>
          <w:p w14:paraId="34AD5CE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23</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6123CA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液基薄层细胞制片术（液基细胞学超薄片技术加收）</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3C35E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50</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6C41E4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次</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4406D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1000</w:t>
            </w:r>
          </w:p>
        </w:tc>
      </w:tr>
      <w:tr w14:paraId="779F9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noWrap w:val="0"/>
            <w:tcMar>
              <w:top w:w="-1" w:type="dxa"/>
              <w:left w:w="-1" w:type="dxa"/>
              <w:bottom w:w="-1" w:type="dxa"/>
              <w:right w:w="-1" w:type="dxa"/>
            </w:tcMar>
            <w:vAlign w:val="center"/>
          </w:tcPr>
          <w:p w14:paraId="2DE992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24</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690A08D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程序性死亡受体-配体1（PD L1）蛋白伴随诊断</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2DEEA9C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2447</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1EC338A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次</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FF444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w:t>
            </w:r>
          </w:p>
        </w:tc>
      </w:tr>
      <w:tr w14:paraId="0120B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nil"/>
              <w:right w:val="single" w:color="auto" w:sz="4" w:space="0"/>
            </w:tcBorders>
            <w:noWrap w:val="0"/>
            <w:tcMar>
              <w:top w:w="-1" w:type="dxa"/>
              <w:left w:w="-1" w:type="dxa"/>
              <w:bottom w:w="-1" w:type="dxa"/>
              <w:right w:w="-1" w:type="dxa"/>
            </w:tcMar>
            <w:vAlign w:val="center"/>
          </w:tcPr>
          <w:p w14:paraId="16F001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25</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11ACDF0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骨髓涂片细胞学检验</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27D37D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68</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2BCBD1F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次</w:t>
            </w:r>
          </w:p>
        </w:tc>
        <w:tc>
          <w:tcPr>
            <w:tcW w:w="0" w:type="auto"/>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171F597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20</w:t>
            </w:r>
          </w:p>
        </w:tc>
      </w:tr>
      <w:tr w14:paraId="5BD2D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12" w:space="0"/>
              <w:bottom w:val="single" w:color="000000" w:sz="12" w:space="0"/>
              <w:right w:val="single" w:color="auto" w:sz="4" w:space="0"/>
            </w:tcBorders>
            <w:noWrap w:val="0"/>
            <w:tcMar>
              <w:top w:w="-1" w:type="dxa"/>
              <w:left w:w="-1" w:type="dxa"/>
              <w:bottom w:w="-1" w:type="dxa"/>
              <w:right w:w="-1" w:type="dxa"/>
            </w:tcMar>
            <w:vAlign w:val="center"/>
          </w:tcPr>
          <w:p w14:paraId="7A36A4D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26</w:t>
            </w:r>
          </w:p>
        </w:tc>
        <w:tc>
          <w:tcPr>
            <w:tcW w:w="321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1E31657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骨髓有核细胞计数</w:t>
            </w:r>
          </w:p>
        </w:tc>
        <w:tc>
          <w:tcPr>
            <w:tcW w:w="129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48162A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13.5</w:t>
            </w:r>
          </w:p>
        </w:tc>
        <w:tc>
          <w:tcPr>
            <w:tcW w:w="137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12050D3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项</w:t>
            </w:r>
          </w:p>
        </w:tc>
        <w:tc>
          <w:tcPr>
            <w:tcW w:w="1181"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79EF86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20</w:t>
            </w:r>
          </w:p>
        </w:tc>
      </w:tr>
    </w:tbl>
    <w:p w14:paraId="29EA900E">
      <w:pPr>
        <w:pStyle w:val="7"/>
        <w:numPr>
          <w:ilvl w:val="0"/>
          <w:numId w:val="0"/>
        </w:numPr>
        <w:spacing w:line="360" w:lineRule="auto"/>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（二）采购项目服务要求</w:t>
      </w:r>
    </w:p>
    <w:p w14:paraId="70841F22">
      <w:pPr>
        <w:pStyle w:val="7"/>
        <w:keepNext w:val="0"/>
        <w:keepLines w:val="0"/>
        <w:pageBreakBefore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服务要求：根据采购人临床业务需求提供相应检查项目服务，建设常规病理技术平台，协助采购人重点开展常规组织病理、细胞学病理诊断及免疫组化技术平台的建设（含术中冰冻远程诊断、远程病理诊断、细胞病理诊断、组织病理检查、免疫组化等），并承担必要的成本（包括但不限于必要的设备成本、试剂耗材成本、人工成本、物流成本等）。</w:t>
      </w:r>
    </w:p>
    <w:p w14:paraId="08EA5FA9">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2、远程病理诊断服务方案：搭建基于数字切片的远程诊断平台，满足相应检查项目服务需求远程诊断能力，并提供其对应的查询服务。</w:t>
      </w:r>
    </w:p>
    <w:p w14:paraId="77CFB22D">
      <w:pPr>
        <w:pStyle w:val="7"/>
        <w:keepNext w:val="0"/>
        <w:keepLines w:val="0"/>
        <w:pageBreakBefore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3、转运和响应能力：供应商应具备冷链运输能力，保证每周7天上门收取样本，保证标本的质量。</w:t>
      </w:r>
    </w:p>
    <w:p w14:paraId="07E0D0BF">
      <w:pPr>
        <w:pStyle w:val="7"/>
        <w:keepNext w:val="0"/>
        <w:keepLines w:val="0"/>
        <w:pageBreakBefore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4.实验室管理体系：协助采购人根据《病理科建设与管理指南（试行）》、《ISO15189 质量认定管理办法》等相关规定，制定实验室各项制度，建立各实验室内质控及室间比对。</w:t>
      </w:r>
    </w:p>
    <w:p w14:paraId="3C58BBEE">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5.病理诊断结果质量保障：供应商保证远程诊断平台资质流程合法合规，确保病理诊断结果的有效性，做好病理报告质量控制。</w:t>
      </w:r>
    </w:p>
    <w:p w14:paraId="2A1B2F89">
      <w:pPr>
        <w:pStyle w:val="11"/>
        <w:keepNext w:val="0"/>
        <w:keepLines w:val="0"/>
        <w:pageBreakBefore w:val="0"/>
        <w:kinsoku/>
        <w:wordWrap/>
        <w:overflowPunct/>
        <w:topLinePunct w:val="0"/>
        <w:autoSpaceDE/>
        <w:autoSpaceDN/>
        <w:bidi w:val="0"/>
        <w:adjustRightInd/>
        <w:snapToGrid/>
        <w:spacing w:after="0" w:line="360" w:lineRule="auto"/>
        <w:ind w:left="0" w:leftChars="0" w:firstLine="0" w:firstLineChars="0"/>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6.报告周期：供应商周一至周日接收到上传病例2个工作日内出具病理报告；如需加做免疫组化检测，收到标本5个工作日内出具病理报告，快速冰冻病检项目需30分钟内出具结果。</w:t>
      </w:r>
    </w:p>
    <w:p w14:paraId="177CC46A">
      <w:pPr>
        <w:pStyle w:val="11"/>
        <w:keepNext w:val="0"/>
        <w:keepLines w:val="0"/>
        <w:pageBreakBefore w:val="0"/>
        <w:kinsoku/>
        <w:wordWrap/>
        <w:overflowPunct/>
        <w:topLinePunct w:val="0"/>
        <w:autoSpaceDE/>
        <w:autoSpaceDN/>
        <w:bidi w:val="0"/>
        <w:adjustRightInd/>
        <w:snapToGrid/>
        <w:spacing w:after="0" w:line="360" w:lineRule="auto"/>
        <w:ind w:left="0" w:leftChars="0" w:firstLine="0" w:firstLineChars="0"/>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7.项目服务应急措施：包含但不限于以下项：危急值报告制度、标本加急处理、项目加做处理、客服服务、不合格标本处理、标本丢失处理等。</w:t>
      </w:r>
    </w:p>
    <w:p w14:paraId="1BB592D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8.供应商需提供至少一份自2024年1月1日（含）以来有与本项目类似的履约经验。（合同扫描件或其他证明材料）</w:t>
      </w:r>
    </w:p>
    <w:p w14:paraId="50D2C39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9.供应商提供具备病理诊断资质医生能够在采购人医院多点执业，负责承担病理科组织病理、细胞病理等样本的诊断，同时向临床医生结果答疑。</w:t>
      </w:r>
    </w:p>
    <w:p w14:paraId="7069332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10.供应商提供的驻点技术人员负责样本的接收、计费确认、取材、脱水、染色、制片、上传等制作全流程工作，同时配合科室管理。</w:t>
      </w:r>
    </w:p>
    <w:p w14:paraId="5B5A31F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11.供应商需承担病理诊断的医疗风险和相应责任。</w:t>
      </w:r>
    </w:p>
    <w:p w14:paraId="509C031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12.供应商需多点执业注册不少于2名中级及以上的病理医生到医院，同时出具的病理报告需满足政策要求，双人签发。</w:t>
      </w:r>
    </w:p>
    <w:p w14:paraId="2E3F456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13.供应商提供病理专家的疑难组织会诊。</w:t>
      </w:r>
    </w:p>
    <w:p w14:paraId="0D9FCFD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14.术中冰冻必须由专家提供亚专科诊断服务并签发报告。</w:t>
      </w:r>
    </w:p>
    <w:p w14:paraId="4E41E19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15.供应商提供远程会诊所需要的云平台，并负责云平台的维护。供应商履约能力：①供应商获得国家卫生行业主管部门/质控中心颁发病理科的 2025年室间质量评价证书，并成绩合格的；②供应商通过网络安全等级保护备案；③供应商具有病理诊断结构化能力的远程系统；</w:t>
      </w:r>
    </w:p>
    <w:p w14:paraId="1E4BDAFB">
      <w:pPr>
        <w:spacing w:line="600" w:lineRule="exact"/>
        <w:rPr>
          <w:rFonts w:ascii="黑体" w:hAnsi="黑体" w:eastAsia="黑体" w:cs="黑体"/>
          <w:sz w:val="32"/>
          <w:szCs w:val="32"/>
        </w:rPr>
      </w:pPr>
      <w:r>
        <w:rPr>
          <w:rFonts w:hint="eastAsia" w:ascii="黑体" w:hAnsi="黑体" w:eastAsia="黑体" w:cs="黑体"/>
          <w:sz w:val="32"/>
          <w:szCs w:val="32"/>
        </w:rPr>
        <w:t>★三、商务及其他要求</w:t>
      </w:r>
    </w:p>
    <w:bookmarkEnd w:id="0"/>
    <w:bookmarkEnd w:id="1"/>
    <w:p w14:paraId="67970FFF">
      <w:pPr>
        <w:pStyle w:val="11"/>
        <w:keepNext w:val="0"/>
        <w:keepLines w:val="0"/>
        <w:pageBreakBefore w:val="0"/>
        <w:kinsoku/>
        <w:wordWrap/>
        <w:overflowPunct/>
        <w:topLinePunct w:val="0"/>
        <w:autoSpaceDE/>
        <w:autoSpaceDN/>
        <w:bidi w:val="0"/>
        <w:adjustRightInd/>
        <w:snapToGrid/>
        <w:spacing w:after="0" w:line="360" w:lineRule="auto"/>
        <w:ind w:left="0" w:leftChars="0" w:firstLine="0" w:firstLineChars="0"/>
        <w:textAlignment w:val="auto"/>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4"/>
          <w:szCs w:val="24"/>
          <w:lang w:val="en-US" w:eastAsia="zh-CN" w:bidi="ar-SA"/>
        </w:rPr>
        <w:t>1</w:t>
      </w:r>
      <w:r>
        <w:rPr>
          <w:rFonts w:hint="eastAsia" w:ascii="仿宋" w:hAnsi="仿宋" w:eastAsia="仿宋" w:cs="仿宋"/>
          <w:color w:val="000000"/>
          <w:kern w:val="2"/>
          <w:sz w:val="28"/>
          <w:szCs w:val="28"/>
          <w:lang w:val="en-US" w:eastAsia="zh-CN" w:bidi="ar-SA"/>
        </w:rPr>
        <w:t>、服务期限：三年。</w:t>
      </w:r>
    </w:p>
    <w:p w14:paraId="53AA3241">
      <w:pPr>
        <w:pStyle w:val="11"/>
        <w:keepNext w:val="0"/>
        <w:keepLines w:val="0"/>
        <w:pageBreakBefore w:val="0"/>
        <w:kinsoku/>
        <w:wordWrap/>
        <w:overflowPunct/>
        <w:topLinePunct w:val="0"/>
        <w:autoSpaceDE/>
        <w:autoSpaceDN/>
        <w:bidi w:val="0"/>
        <w:adjustRightInd/>
        <w:snapToGrid/>
        <w:spacing w:after="0" w:line="360" w:lineRule="auto"/>
        <w:ind w:left="0" w:leftChars="0" w:firstLine="0" w:firstLineChars="0"/>
        <w:textAlignment w:val="auto"/>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2、报价要求：本项目按照物价收费，报单项价格。</w:t>
      </w:r>
    </w:p>
    <w:p w14:paraId="66162839">
      <w:pPr>
        <w:pStyle w:val="11"/>
        <w:keepNext w:val="0"/>
        <w:keepLines w:val="0"/>
        <w:pageBreakBefore w:val="0"/>
        <w:kinsoku/>
        <w:wordWrap/>
        <w:overflowPunct/>
        <w:topLinePunct w:val="0"/>
        <w:autoSpaceDE/>
        <w:autoSpaceDN/>
        <w:bidi w:val="0"/>
        <w:adjustRightInd/>
        <w:snapToGrid/>
        <w:spacing w:after="0" w:line="360" w:lineRule="auto"/>
        <w:ind w:left="0" w:leftChars="0" w:firstLine="0" w:firstLineChars="0"/>
        <w:textAlignment w:val="auto"/>
        <w:rPr>
          <w:rFonts w:hint="default"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付款方式：采购人根据成交供应商当月检验项目数量、成都市医疗服务物价管理部门规定的医院收费标准和成交供应商单项报价核算，成交供应商须按照财政支付要求提供相关凭证（如增值税发票、送检清单等），采购人将按照财政支付流程进行结算支付。</w:t>
      </w:r>
    </w:p>
    <w:p w14:paraId="01AD5CFA">
      <w:pPr>
        <w:rPr>
          <w:rFonts w:hint="eastAsia"/>
        </w:rPr>
      </w:pPr>
    </w:p>
    <w:p w14:paraId="46499979">
      <w:pPr>
        <w:pStyle w:val="4"/>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b/>
          <w:bCs/>
          <w:color w:val="auto"/>
          <w:sz w:val="28"/>
          <w:szCs w:val="28"/>
          <w:highlight w:val="none"/>
        </w:rPr>
      </w:pPr>
      <w:r>
        <w:rPr>
          <w:rFonts w:hint="eastAsia" w:ascii="宋体" w:hAnsi="宋体" w:eastAsia="宋体" w:cs="宋体"/>
          <w:b/>
          <w:bCs/>
          <w:color w:val="auto"/>
          <w:sz w:val="24"/>
          <w:szCs w:val="24"/>
          <w:highlight w:val="none"/>
        </w:rPr>
        <w:t>注：</w:t>
      </w:r>
      <w:r>
        <w:rPr>
          <w:rFonts w:hint="eastAsia" w:ascii="仿宋" w:hAnsi="仿宋" w:eastAsia="仿宋" w:cs="仿宋"/>
          <w:b/>
          <w:bCs/>
          <w:color w:val="auto"/>
          <w:sz w:val="28"/>
          <w:szCs w:val="28"/>
          <w:highlight w:val="none"/>
          <w:lang w:val="en-US" w:eastAsia="zh-CN"/>
        </w:rPr>
        <w:t>1、</w:t>
      </w:r>
      <w:r>
        <w:rPr>
          <w:rFonts w:hint="eastAsia" w:ascii="仿宋" w:hAnsi="仿宋" w:eastAsia="仿宋" w:cs="仿宋"/>
          <w:b/>
          <w:bCs/>
          <w:color w:val="auto"/>
          <w:sz w:val="28"/>
          <w:szCs w:val="28"/>
          <w:highlight w:val="none"/>
        </w:rPr>
        <w:t>以上带★号条款为实质性要求。</w:t>
      </w:r>
    </w:p>
    <w:p w14:paraId="001A0AAE">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Chars="0" w:firstLine="562" w:firstLineChars="200"/>
        <w:textAlignment w:val="auto"/>
        <w:rPr>
          <w:rFonts w:hint="eastAsia" w:ascii="仿宋" w:hAnsi="仿宋" w:eastAsia="仿宋" w:cs="仿宋"/>
          <w:b/>
          <w:bCs w:val="0"/>
          <w:color w:val="auto"/>
          <w:sz w:val="28"/>
          <w:szCs w:val="28"/>
          <w:highlight w:val="none"/>
          <w:lang w:val="en-US" w:eastAsia="zh-CN"/>
        </w:rPr>
      </w:pPr>
      <w:r>
        <w:rPr>
          <w:rFonts w:hint="eastAsia" w:ascii="仿宋" w:hAnsi="仿宋" w:eastAsia="仿宋" w:cs="仿宋"/>
          <w:b/>
          <w:bCs w:val="0"/>
          <w:color w:val="auto"/>
          <w:sz w:val="28"/>
          <w:szCs w:val="28"/>
          <w:highlight w:val="none"/>
          <w:lang w:val="en-US" w:eastAsia="zh-CN"/>
        </w:rPr>
        <w:t>本项目所涉及的所有国家标准、地方标准、行业标准等如有最新的标准以最新标准为准。</w:t>
      </w:r>
    </w:p>
    <w:p w14:paraId="537D7F26">
      <w:pPr>
        <w:pStyle w:val="4"/>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val="0"/>
          <w:color w:val="auto"/>
          <w:sz w:val="24"/>
          <w:szCs w:val="24"/>
          <w:highlight w:val="none"/>
          <w:lang w:val="en-US" w:eastAsia="zh-CN"/>
        </w:rPr>
      </w:pPr>
    </w:p>
    <w:p w14:paraId="466D57A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val="0"/>
          <w:color w:val="auto"/>
          <w:sz w:val="24"/>
          <w:szCs w:val="24"/>
          <w:highlight w:val="none"/>
          <w:lang w:val="en-US" w:eastAsia="zh-CN"/>
        </w:rPr>
      </w:pPr>
    </w:p>
    <w:p w14:paraId="0D52168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val="0"/>
          <w:color w:val="auto"/>
          <w:sz w:val="24"/>
          <w:szCs w:val="24"/>
          <w:highlight w:val="none"/>
          <w:lang w:val="en-US" w:eastAsia="zh-CN"/>
        </w:rPr>
      </w:pPr>
    </w:p>
    <w:p w14:paraId="69827B1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val="0"/>
          <w:color w:val="auto"/>
          <w:sz w:val="24"/>
          <w:szCs w:val="24"/>
          <w:highlight w:val="none"/>
          <w:lang w:val="en-US" w:eastAsia="zh-CN"/>
        </w:rPr>
      </w:pPr>
    </w:p>
    <w:p w14:paraId="6FF2E20B">
      <w:pPr>
        <w:spacing w:line="360" w:lineRule="auto"/>
        <w:outlineLvl w:val="0"/>
        <w:rPr>
          <w:rFonts w:hint="eastAsia" w:ascii="Calibri" w:hAnsi="Calibri"/>
          <w:b/>
          <w:bCs/>
          <w:color w:val="auto"/>
          <w:sz w:val="32"/>
          <w:szCs w:val="32"/>
        </w:rPr>
      </w:pPr>
    </w:p>
    <w:p w14:paraId="5D89FEB2">
      <w:pPr>
        <w:spacing w:line="360" w:lineRule="auto"/>
        <w:outlineLvl w:val="0"/>
        <w:rPr>
          <w:rFonts w:hint="eastAsia" w:ascii="Calibri" w:hAnsi="Calibri"/>
          <w:b/>
          <w:bCs/>
          <w:color w:val="auto"/>
          <w:sz w:val="32"/>
          <w:szCs w:val="32"/>
        </w:rPr>
      </w:pPr>
    </w:p>
    <w:p w14:paraId="391428A8">
      <w:pPr>
        <w:spacing w:line="360" w:lineRule="auto"/>
        <w:outlineLvl w:val="0"/>
        <w:rPr>
          <w:rFonts w:hint="eastAsia" w:ascii="Calibri" w:hAnsi="Calibri"/>
          <w:b/>
          <w:bCs/>
          <w:color w:val="auto"/>
          <w:sz w:val="32"/>
          <w:szCs w:val="32"/>
        </w:rPr>
      </w:pPr>
    </w:p>
    <w:p w14:paraId="36C77E45">
      <w:pPr>
        <w:spacing w:line="360" w:lineRule="auto"/>
        <w:outlineLvl w:val="0"/>
        <w:rPr>
          <w:rFonts w:hint="eastAsia" w:ascii="Calibri" w:hAnsi="Calibri"/>
          <w:b/>
          <w:bCs/>
          <w:color w:val="auto"/>
          <w:sz w:val="32"/>
          <w:szCs w:val="32"/>
        </w:rPr>
      </w:pPr>
    </w:p>
    <w:p w14:paraId="10E4F24D">
      <w:pPr>
        <w:spacing w:line="360" w:lineRule="auto"/>
        <w:outlineLvl w:val="0"/>
        <w:rPr>
          <w:rFonts w:hint="eastAsia" w:ascii="Calibri" w:hAnsi="Calibri"/>
          <w:b/>
          <w:bCs/>
          <w:color w:val="auto"/>
          <w:sz w:val="32"/>
          <w:szCs w:val="32"/>
        </w:rPr>
      </w:pPr>
    </w:p>
    <w:p w14:paraId="63DFD5BD">
      <w:pPr>
        <w:spacing w:line="360" w:lineRule="auto"/>
        <w:outlineLvl w:val="0"/>
        <w:rPr>
          <w:rFonts w:hint="eastAsia" w:ascii="Calibri" w:hAnsi="Calibri"/>
          <w:b/>
          <w:bCs/>
          <w:color w:val="auto"/>
          <w:sz w:val="32"/>
          <w:szCs w:val="32"/>
        </w:rPr>
      </w:pPr>
    </w:p>
    <w:p w14:paraId="6DF6CA35">
      <w:pPr>
        <w:spacing w:line="360" w:lineRule="auto"/>
        <w:outlineLvl w:val="0"/>
        <w:rPr>
          <w:rFonts w:hint="eastAsia" w:ascii="Calibri" w:hAnsi="Calibri"/>
          <w:b/>
          <w:bCs/>
          <w:color w:val="auto"/>
          <w:sz w:val="32"/>
          <w:szCs w:val="32"/>
        </w:rPr>
      </w:pPr>
    </w:p>
    <w:p w14:paraId="6C2F9398">
      <w:pPr>
        <w:spacing w:line="360" w:lineRule="auto"/>
        <w:outlineLvl w:val="0"/>
        <w:rPr>
          <w:rFonts w:hint="eastAsia" w:ascii="Calibri" w:hAnsi="Calibri"/>
          <w:b/>
          <w:bCs/>
          <w:color w:val="auto"/>
          <w:sz w:val="32"/>
          <w:szCs w:val="32"/>
        </w:rPr>
      </w:pPr>
    </w:p>
    <w:p w14:paraId="1BF80C22">
      <w:pPr>
        <w:spacing w:line="360" w:lineRule="auto"/>
        <w:outlineLvl w:val="0"/>
        <w:rPr>
          <w:rFonts w:hint="eastAsia" w:ascii="Calibri" w:hAnsi="Calibri"/>
          <w:b/>
          <w:bCs/>
          <w:color w:val="auto"/>
          <w:sz w:val="32"/>
          <w:szCs w:val="32"/>
          <w:lang w:val="en-US" w:eastAsia="zh-CN"/>
        </w:rPr>
      </w:pPr>
      <w:r>
        <w:rPr>
          <w:rFonts w:hint="eastAsia" w:ascii="Calibri" w:hAnsi="Calibri"/>
          <w:b/>
          <w:bCs/>
          <w:color w:val="auto"/>
          <w:sz w:val="32"/>
          <w:szCs w:val="32"/>
        </w:rPr>
        <w:t>附件2：报价</w:t>
      </w:r>
      <w:r>
        <w:rPr>
          <w:rFonts w:hint="eastAsia" w:ascii="Calibri" w:hAnsi="Calibri"/>
          <w:b/>
          <w:bCs/>
          <w:color w:val="auto"/>
          <w:sz w:val="32"/>
          <w:szCs w:val="32"/>
          <w:lang w:val="en-US" w:eastAsia="zh-CN"/>
        </w:rPr>
        <w:t>格式</w:t>
      </w:r>
    </w:p>
    <w:p w14:paraId="3413F3A8">
      <w:pPr>
        <w:spacing w:line="360" w:lineRule="auto"/>
        <w:outlineLvl w:val="0"/>
        <w:rPr>
          <w:rFonts w:hint="eastAsia" w:ascii="Calibri" w:hAnsi="Calibri"/>
          <w:b/>
          <w:bCs/>
          <w:color w:val="auto"/>
          <w:sz w:val="32"/>
          <w:szCs w:val="32"/>
          <w:lang w:val="en-US" w:eastAsia="zh-CN"/>
        </w:rPr>
      </w:pPr>
    </w:p>
    <w:tbl>
      <w:tblPr>
        <w:tblStyle w:val="13"/>
        <w:tblW w:w="591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0"/>
        <w:gridCol w:w="1628"/>
        <w:gridCol w:w="891"/>
        <w:gridCol w:w="891"/>
        <w:gridCol w:w="1310"/>
        <w:gridCol w:w="1979"/>
        <w:gridCol w:w="3113"/>
      </w:tblGrid>
      <w:tr w14:paraId="5049D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tblHeader/>
          <w:jc w:val="center"/>
        </w:trPr>
        <w:tc>
          <w:tcPr>
            <w:tcW w:w="5000" w:type="pct"/>
            <w:gridSpan w:val="7"/>
            <w:tcBorders>
              <w:top w:val="single" w:color="000000" w:sz="12" w:space="0"/>
              <w:left w:val="single" w:color="000000" w:sz="12" w:space="0"/>
              <w:bottom w:val="nil"/>
              <w:right w:val="single" w:color="000000" w:sz="12" w:space="0"/>
            </w:tcBorders>
            <w:shd w:val="clear" w:color="auto" w:fill="FFFFFF"/>
            <w:noWrap w:val="0"/>
            <w:tcMar>
              <w:top w:w="-1" w:type="dxa"/>
              <w:left w:w="-1" w:type="dxa"/>
              <w:bottom w:w="-1" w:type="dxa"/>
              <w:right w:w="-1" w:type="dxa"/>
            </w:tcMar>
            <w:vAlign w:val="center"/>
          </w:tcPr>
          <w:p w14:paraId="1B9C9E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成都市新津区中医医院远程数字病理会诊服务采购项目询预算价</w:t>
            </w:r>
          </w:p>
        </w:tc>
      </w:tr>
      <w:tr w14:paraId="0C670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364" w:type="pct"/>
            <w:tcBorders>
              <w:top w:val="single" w:color="000000" w:sz="12" w:space="0"/>
              <w:left w:val="single" w:color="000000" w:sz="12" w:space="0"/>
              <w:bottom w:val="nil"/>
              <w:right w:val="nil"/>
            </w:tcBorders>
            <w:shd w:val="clear" w:color="auto" w:fill="FFFFFF"/>
            <w:noWrap w:val="0"/>
            <w:tcMar>
              <w:top w:w="-1" w:type="dxa"/>
              <w:left w:w="-1" w:type="dxa"/>
              <w:bottom w:w="-1" w:type="dxa"/>
              <w:right w:w="-1" w:type="dxa"/>
            </w:tcMar>
            <w:vAlign w:val="center"/>
          </w:tcPr>
          <w:p w14:paraId="6442519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序号</w:t>
            </w:r>
          </w:p>
        </w:tc>
        <w:tc>
          <w:tcPr>
            <w:tcW w:w="769" w:type="pct"/>
            <w:tcBorders>
              <w:top w:val="single" w:color="000000" w:sz="12" w:space="0"/>
              <w:left w:val="single" w:color="000000" w:sz="4" w:space="0"/>
              <w:bottom w:val="nil"/>
              <w:right w:val="nil"/>
            </w:tcBorders>
            <w:noWrap w:val="0"/>
            <w:tcMar>
              <w:top w:w="-1" w:type="dxa"/>
              <w:left w:w="-1" w:type="dxa"/>
              <w:bottom w:w="-1" w:type="dxa"/>
              <w:right w:w="-1" w:type="dxa"/>
            </w:tcMar>
            <w:vAlign w:val="center"/>
          </w:tcPr>
          <w:p w14:paraId="2467AC9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项目</w:t>
            </w:r>
          </w:p>
        </w:tc>
        <w:tc>
          <w:tcPr>
            <w:tcW w:w="421" w:type="pct"/>
            <w:tcBorders>
              <w:top w:val="single" w:color="000000" w:sz="12" w:space="0"/>
              <w:left w:val="single" w:color="000000" w:sz="4" w:space="0"/>
              <w:bottom w:val="nil"/>
              <w:right w:val="nil"/>
            </w:tcBorders>
            <w:noWrap w:val="0"/>
            <w:tcMar>
              <w:top w:w="-1" w:type="dxa"/>
              <w:left w:w="-1" w:type="dxa"/>
              <w:bottom w:w="-1" w:type="dxa"/>
              <w:right w:w="-1" w:type="dxa"/>
            </w:tcMar>
            <w:vAlign w:val="center"/>
          </w:tcPr>
          <w:p w14:paraId="746C45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物价收费</w:t>
            </w:r>
          </w:p>
        </w:tc>
        <w:tc>
          <w:tcPr>
            <w:tcW w:w="421" w:type="pct"/>
            <w:tcBorders>
              <w:top w:val="single" w:color="000000" w:sz="12" w:space="0"/>
              <w:left w:val="single" w:color="000000" w:sz="4" w:space="0"/>
              <w:bottom w:val="nil"/>
              <w:right w:val="nil"/>
            </w:tcBorders>
            <w:noWrap w:val="0"/>
            <w:tcMar>
              <w:top w:w="-1" w:type="dxa"/>
              <w:left w:w="-1" w:type="dxa"/>
              <w:bottom w:w="-1" w:type="dxa"/>
              <w:right w:w="-1" w:type="dxa"/>
            </w:tcMar>
            <w:vAlign w:val="center"/>
          </w:tcPr>
          <w:p w14:paraId="56F084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计价单位</w:t>
            </w:r>
          </w:p>
        </w:tc>
        <w:tc>
          <w:tcPr>
            <w:tcW w:w="619" w:type="pct"/>
            <w:tcBorders>
              <w:top w:val="single" w:color="000000" w:sz="12" w:space="0"/>
              <w:left w:val="single" w:color="000000" w:sz="4" w:space="0"/>
              <w:bottom w:val="nil"/>
              <w:right w:val="nil"/>
            </w:tcBorders>
            <w:noWrap w:val="0"/>
            <w:tcMar>
              <w:top w:w="-1" w:type="dxa"/>
              <w:left w:w="-1" w:type="dxa"/>
              <w:bottom w:w="-1" w:type="dxa"/>
              <w:right w:w="-1" w:type="dxa"/>
            </w:tcMar>
            <w:vAlign w:val="center"/>
          </w:tcPr>
          <w:p w14:paraId="46E70C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预估数量</w:t>
            </w:r>
          </w:p>
        </w:tc>
        <w:tc>
          <w:tcPr>
            <w:tcW w:w="935" w:type="pct"/>
            <w:tcBorders>
              <w:top w:val="single" w:color="000000" w:sz="12" w:space="0"/>
              <w:left w:val="single" w:color="000000" w:sz="4" w:space="0"/>
              <w:bottom w:val="nil"/>
              <w:right w:val="single" w:color="000000" w:sz="12" w:space="0"/>
            </w:tcBorders>
            <w:noWrap w:val="0"/>
            <w:tcMar>
              <w:top w:w="-1" w:type="dxa"/>
              <w:left w:w="-1" w:type="dxa"/>
              <w:bottom w:w="-1" w:type="dxa"/>
              <w:right w:w="-1" w:type="dxa"/>
            </w:tcMar>
            <w:vAlign w:val="center"/>
          </w:tcPr>
          <w:p w14:paraId="491D417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单项报价（元）</w:t>
            </w:r>
          </w:p>
        </w:tc>
        <w:tc>
          <w:tcPr>
            <w:tcW w:w="1469" w:type="pct"/>
            <w:tcBorders>
              <w:top w:val="single" w:color="000000" w:sz="12" w:space="0"/>
              <w:left w:val="single" w:color="000000" w:sz="4" w:space="0"/>
              <w:bottom w:val="nil"/>
              <w:right w:val="single" w:color="000000" w:sz="12" w:space="0"/>
            </w:tcBorders>
            <w:noWrap w:val="0"/>
            <w:tcMar>
              <w:top w:w="-1" w:type="dxa"/>
              <w:left w:w="-1" w:type="dxa"/>
              <w:bottom w:w="-1" w:type="dxa"/>
              <w:right w:w="-1" w:type="dxa"/>
            </w:tcMar>
            <w:vAlign w:val="center"/>
          </w:tcPr>
          <w:p w14:paraId="589F3BAC">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总价（元）</w:t>
            </w:r>
          </w:p>
        </w:tc>
      </w:tr>
      <w:tr w14:paraId="7EB29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11E65A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31A01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体液细胞学检查与诊断</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FD57C6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68</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4F9CC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1E5088D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45077F41">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46815430">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0AC6D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28B612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A10CE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细针穿刺细胞学检查与诊断</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2AF44A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95</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178AA6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616B87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2C99B054">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65EA3746">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62C68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614EC8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25EFEA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脱落细胞学检查与诊断</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2FD19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49</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F362D8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4C0D3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1CBD281C">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19296783">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07DC7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1DA204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4</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3A6BA7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穿刺组织活检检查与诊断</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9CD1DC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120</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1E367B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6C62E1C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600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1A6B9DEB">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6E35309E">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58AA2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2D1223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F4407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内镜组织活检检查与诊断</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0D52FF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90</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2C1A59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D1CE0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1A8B269D">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3CF506E1">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12A34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1727E9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6</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52E818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局部切除组织活检检查与诊断</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314BFB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90</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8672D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每个部位</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149BF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1A2BB967">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4B011D74">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3B06E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45110B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7</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4B5138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骨髓组织活检检查与诊断</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32B39F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120</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3417933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041413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6320FADC">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126812AF">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50F62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21D81A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8</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6D592F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手术标本检查与诊断</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F4587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81</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000B89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198109C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1500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6221558B">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61053A3A">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54124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7B2186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9</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11824F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截肢标本病理检查与诊断</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63B838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120</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E78FF0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每肢、每</w:t>
            </w:r>
            <w:r>
              <w:rPr>
                <w:rFonts w:hint="eastAsia" w:ascii="仿宋" w:hAnsi="仿宋" w:eastAsia="仿宋" w:cs="仿宋"/>
                <w:color w:val="000000"/>
                <w:kern w:val="2"/>
                <w:sz w:val="28"/>
                <w:szCs w:val="28"/>
                <w:lang w:val="en-US" w:eastAsia="zh-CN" w:bidi="ar-SA"/>
              </w:rPr>
              <w:br w:type="textWrapping"/>
            </w:r>
            <w:r>
              <w:rPr>
                <w:rFonts w:hint="eastAsia" w:ascii="仿宋" w:hAnsi="仿宋" w:eastAsia="仿宋" w:cs="仿宋"/>
                <w:color w:val="000000"/>
                <w:kern w:val="2"/>
                <w:sz w:val="28"/>
                <w:szCs w:val="28"/>
                <w:lang w:val="en-US" w:eastAsia="zh-CN" w:bidi="ar-SA"/>
              </w:rPr>
              <w:t>指(趾)</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0FA57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2AB4374A">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6D7A4ED1">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109F4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6036542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153C88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冰冻切片检查与诊断</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1E1A0F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300</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A9D1D2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C63E8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70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3107E8E7">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18253C6A">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49AE8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4023780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11</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2073F15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特殊染色及酶组织化学染色诊断</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025E3FD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50</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872D3F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每个标本，每种染色</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54A6A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75D609C3">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1ED6492F">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25511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2A6D1E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12</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1BA85E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特殊染色及酶组织化学染色诊断（每个标本每种染色仪</w:t>
            </w:r>
            <w:r>
              <w:rPr>
                <w:rFonts w:hint="eastAsia" w:ascii="仿宋" w:hAnsi="仿宋" w:eastAsia="仿宋" w:cs="仿宋"/>
                <w:color w:val="000000"/>
                <w:kern w:val="2"/>
                <w:sz w:val="28"/>
                <w:szCs w:val="28"/>
                <w:lang w:val="en-US" w:eastAsia="zh-CN" w:bidi="ar-SA"/>
              </w:rPr>
              <w:br w:type="textWrapping"/>
            </w:r>
            <w:r>
              <w:rPr>
                <w:rFonts w:hint="eastAsia" w:ascii="仿宋" w:hAnsi="仿宋" w:eastAsia="仿宋" w:cs="仿宋"/>
                <w:color w:val="000000"/>
                <w:kern w:val="2"/>
                <w:sz w:val="28"/>
                <w:szCs w:val="28"/>
                <w:lang w:val="en-US" w:eastAsia="zh-CN" w:bidi="ar-SA"/>
              </w:rPr>
              <w:t>器法加</w:t>
            </w:r>
            <w:r>
              <w:rPr>
                <w:rFonts w:hint="eastAsia" w:ascii="仿宋" w:hAnsi="仿宋" w:eastAsia="仿宋" w:cs="仿宋"/>
                <w:color w:val="000000"/>
                <w:kern w:val="2"/>
                <w:sz w:val="28"/>
                <w:szCs w:val="28"/>
                <w:lang w:val="en-US" w:eastAsia="zh-CN" w:bidi="ar-SA"/>
              </w:rPr>
              <w:br w:type="textWrapping"/>
            </w:r>
            <w:r>
              <w:rPr>
                <w:rFonts w:hint="eastAsia" w:ascii="仿宋" w:hAnsi="仿宋" w:eastAsia="仿宋" w:cs="仿宋"/>
                <w:color w:val="000000"/>
                <w:kern w:val="2"/>
                <w:sz w:val="28"/>
                <w:szCs w:val="28"/>
                <w:lang w:val="en-US" w:eastAsia="zh-CN" w:bidi="ar-SA"/>
              </w:rPr>
              <w:t>收）</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31E19D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97</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BCD28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每个标本，每种染色</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2741C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1C682E69">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35F868B6">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51C36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6F2FD7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13</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6C77A8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免疫组织化学染色诊断</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2F668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120</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336EE4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每个标本，每种染色</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A2921A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3000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2C7C911D">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256BE8E8">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61CAE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7C3178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14</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B48F54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液基薄层细胞制片术</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2B6D4C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120</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15221E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次</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024C9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20BB62ED">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2137CDE7">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054B1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7953FE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15</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2F5545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显微摄影术</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7B4E6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32</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17B8E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每个视野</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2368C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5000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14580426">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7D23E864">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05235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78531E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16</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3222C40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快速石蜡切片检查与诊断</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E4F2C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300</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32B3FF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例</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7C0E1A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2331D0E6">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3EE60B28">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7C01C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5FDE9F3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17</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209A41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脱氧核糖核酸（DNA）测序</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D8D68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360</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5297C8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项</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0E6A8B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5FCDB3B9">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054D498A">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5237D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1F1AF0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18</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416AB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荧光原位杂交（FISH）检测</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8F614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1100</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0BF6E4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次</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015433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17</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52A6488D">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2466D7E8">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39909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5560B7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19</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0F5E23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全自动快速免疫组织化学染色诊断</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E00A0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160</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2379956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次</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26DAFF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152961D0">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23D20D86">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2B0CE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04132D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20</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2A4F58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手术标本检查与诊断（以两个蜡块为基价，超过两个每增加个加收）</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134337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29B74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一个蜡块</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67DA6E3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648EDD85">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235BD620">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7FC3E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44ACF29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21</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88646D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内镜组织活检检查与诊断（以两个蜡块为基价，超过两个每增加᳿个加收）</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6667A2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6E82E2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一个蜡块</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2FC1AD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1A5A760D">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2E84A863">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61F4B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0E9131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22</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0A190C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局部切除组织活检检查与诊断（以两个蜡块为基价，超过两个每增加᳿个加收）</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6E6179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01A2B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一个蜡块</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C05ED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7B66C95C">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60A475FA">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19908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shd w:val="clear" w:color="auto" w:fill="FFFFFF"/>
            <w:noWrap w:val="0"/>
            <w:tcMar>
              <w:top w:w="-1" w:type="dxa"/>
              <w:left w:w="-1" w:type="dxa"/>
              <w:bottom w:w="-1" w:type="dxa"/>
              <w:right w:w="-1" w:type="dxa"/>
            </w:tcMar>
            <w:vAlign w:val="center"/>
          </w:tcPr>
          <w:p w14:paraId="60B52F2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23</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2B31FC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液基薄层细胞制片术（液基细胞学超薄片技术加收）</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69943D1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50</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6ADE8C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次</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99AA1A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1000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67F6484B">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0FA82C69">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6C904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noWrap w:val="0"/>
            <w:tcMar>
              <w:top w:w="-1" w:type="dxa"/>
              <w:left w:w="-1" w:type="dxa"/>
              <w:bottom w:w="-1" w:type="dxa"/>
              <w:right w:w="-1" w:type="dxa"/>
            </w:tcMar>
            <w:vAlign w:val="center"/>
          </w:tcPr>
          <w:p w14:paraId="2D9DD79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24</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201FE04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程序性死亡受体-配体1（PD L1）蛋白伴随诊断</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BA78E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2447</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DF3D6A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次</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F01C5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5</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65E7BDD4">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5B31EA5B">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013E0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nil"/>
              <w:right w:val="nil"/>
            </w:tcBorders>
            <w:noWrap w:val="0"/>
            <w:tcMar>
              <w:top w:w="-1" w:type="dxa"/>
              <w:left w:w="-1" w:type="dxa"/>
              <w:bottom w:w="-1" w:type="dxa"/>
              <w:right w:w="-1" w:type="dxa"/>
            </w:tcMar>
            <w:vAlign w:val="center"/>
          </w:tcPr>
          <w:p w14:paraId="36E3E3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25</w:t>
            </w:r>
          </w:p>
        </w:tc>
        <w:tc>
          <w:tcPr>
            <w:tcW w:w="76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3D5A4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骨髓涂片细胞学检验</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38CFB5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68</w:t>
            </w:r>
          </w:p>
        </w:tc>
        <w:tc>
          <w:tcPr>
            <w:tcW w:w="421"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437DCD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次</w:t>
            </w:r>
          </w:p>
        </w:tc>
        <w:tc>
          <w:tcPr>
            <w:tcW w:w="619" w:type="pct"/>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0F0C1AF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20</w:t>
            </w:r>
          </w:p>
        </w:tc>
        <w:tc>
          <w:tcPr>
            <w:tcW w:w="935"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06C8DCDA">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nil"/>
              <w:right w:val="single" w:color="000000" w:sz="12" w:space="0"/>
            </w:tcBorders>
            <w:noWrap w:val="0"/>
            <w:tcMar>
              <w:top w:w="-1" w:type="dxa"/>
              <w:left w:w="-1" w:type="dxa"/>
              <w:bottom w:w="-1" w:type="dxa"/>
              <w:right w:w="-1" w:type="dxa"/>
            </w:tcMar>
            <w:vAlign w:val="center"/>
          </w:tcPr>
          <w:p w14:paraId="2D95CAB0">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29C7F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4" w:type="pct"/>
            <w:tcBorders>
              <w:top w:val="single" w:color="000000" w:sz="4" w:space="0"/>
              <w:left w:val="single" w:color="000000" w:sz="12" w:space="0"/>
              <w:bottom w:val="single" w:color="000000" w:sz="4" w:space="0"/>
              <w:right w:val="nil"/>
            </w:tcBorders>
            <w:noWrap w:val="0"/>
            <w:tcMar>
              <w:top w:w="-1" w:type="dxa"/>
              <w:left w:w="-1" w:type="dxa"/>
              <w:bottom w:w="-1" w:type="dxa"/>
              <w:right w:w="-1" w:type="dxa"/>
            </w:tcMar>
            <w:vAlign w:val="center"/>
          </w:tcPr>
          <w:p w14:paraId="544EB61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26</w:t>
            </w:r>
          </w:p>
        </w:tc>
        <w:tc>
          <w:tcPr>
            <w:tcW w:w="769" w:type="pct"/>
            <w:tcBorders>
              <w:top w:val="single" w:color="000000" w:sz="4" w:space="0"/>
              <w:left w:val="single" w:color="000000" w:sz="4" w:space="0"/>
              <w:bottom w:val="single" w:color="000000" w:sz="4" w:space="0"/>
              <w:right w:val="nil"/>
            </w:tcBorders>
            <w:noWrap w:val="0"/>
            <w:tcMar>
              <w:top w:w="-1" w:type="dxa"/>
              <w:left w:w="-1" w:type="dxa"/>
              <w:bottom w:w="-1" w:type="dxa"/>
              <w:right w:w="-1" w:type="dxa"/>
            </w:tcMar>
            <w:vAlign w:val="center"/>
          </w:tcPr>
          <w:p w14:paraId="6623C6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骨髓有核细胞计数</w:t>
            </w:r>
          </w:p>
          <w:p w14:paraId="4808B56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p>
        </w:tc>
        <w:tc>
          <w:tcPr>
            <w:tcW w:w="421" w:type="pct"/>
            <w:tcBorders>
              <w:top w:val="single" w:color="000000" w:sz="4" w:space="0"/>
              <w:left w:val="single" w:color="000000" w:sz="4" w:space="0"/>
              <w:bottom w:val="single" w:color="000000" w:sz="4" w:space="0"/>
              <w:right w:val="nil"/>
            </w:tcBorders>
            <w:noWrap w:val="0"/>
            <w:tcMar>
              <w:top w:w="-1" w:type="dxa"/>
              <w:left w:w="-1" w:type="dxa"/>
              <w:bottom w:w="-1" w:type="dxa"/>
              <w:right w:w="-1" w:type="dxa"/>
            </w:tcMar>
            <w:vAlign w:val="center"/>
          </w:tcPr>
          <w:p w14:paraId="6CA2FD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13.5</w:t>
            </w:r>
          </w:p>
        </w:tc>
        <w:tc>
          <w:tcPr>
            <w:tcW w:w="421" w:type="pct"/>
            <w:tcBorders>
              <w:top w:val="single" w:color="000000" w:sz="4" w:space="0"/>
              <w:left w:val="single" w:color="000000" w:sz="4" w:space="0"/>
              <w:bottom w:val="single" w:color="000000" w:sz="4" w:space="0"/>
              <w:right w:val="nil"/>
            </w:tcBorders>
            <w:noWrap w:val="0"/>
            <w:tcMar>
              <w:top w:w="-1" w:type="dxa"/>
              <w:left w:w="-1" w:type="dxa"/>
              <w:bottom w:w="-1" w:type="dxa"/>
              <w:right w:w="-1" w:type="dxa"/>
            </w:tcMar>
            <w:vAlign w:val="center"/>
          </w:tcPr>
          <w:p w14:paraId="101FB4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项</w:t>
            </w:r>
          </w:p>
        </w:tc>
        <w:tc>
          <w:tcPr>
            <w:tcW w:w="619" w:type="pct"/>
            <w:tcBorders>
              <w:top w:val="single" w:color="000000" w:sz="4" w:space="0"/>
              <w:left w:val="single" w:color="000000" w:sz="4" w:space="0"/>
              <w:bottom w:val="single" w:color="000000" w:sz="4" w:space="0"/>
              <w:right w:val="nil"/>
            </w:tcBorders>
            <w:noWrap w:val="0"/>
            <w:tcMar>
              <w:top w:w="-1" w:type="dxa"/>
              <w:left w:w="-1" w:type="dxa"/>
              <w:bottom w:w="-1" w:type="dxa"/>
              <w:right w:w="-1" w:type="dxa"/>
            </w:tcMar>
            <w:vAlign w:val="center"/>
          </w:tcPr>
          <w:p w14:paraId="03EA3D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20</w:t>
            </w:r>
          </w:p>
        </w:tc>
        <w:tc>
          <w:tcPr>
            <w:tcW w:w="935" w:type="pct"/>
            <w:tcBorders>
              <w:top w:val="single" w:color="000000" w:sz="4" w:space="0"/>
              <w:left w:val="single" w:color="000000" w:sz="4" w:space="0"/>
              <w:bottom w:val="single" w:color="000000" w:sz="4" w:space="0"/>
              <w:right w:val="single" w:color="000000" w:sz="12" w:space="0"/>
            </w:tcBorders>
            <w:noWrap w:val="0"/>
            <w:tcMar>
              <w:top w:w="-1" w:type="dxa"/>
              <w:left w:w="-1" w:type="dxa"/>
              <w:bottom w:w="-1" w:type="dxa"/>
              <w:right w:w="-1" w:type="dxa"/>
            </w:tcMar>
            <w:vAlign w:val="center"/>
          </w:tcPr>
          <w:p w14:paraId="75559168">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c>
          <w:tcPr>
            <w:tcW w:w="1469" w:type="pct"/>
            <w:tcBorders>
              <w:top w:val="single" w:color="000000" w:sz="4" w:space="0"/>
              <w:left w:val="single" w:color="000000" w:sz="4" w:space="0"/>
              <w:bottom w:val="single" w:color="000000" w:sz="4" w:space="0"/>
              <w:right w:val="single" w:color="000000" w:sz="12" w:space="0"/>
            </w:tcBorders>
            <w:noWrap w:val="0"/>
            <w:tcMar>
              <w:top w:w="-1" w:type="dxa"/>
              <w:left w:w="-1" w:type="dxa"/>
              <w:bottom w:w="-1" w:type="dxa"/>
              <w:right w:w="-1" w:type="dxa"/>
            </w:tcMar>
            <w:vAlign w:val="center"/>
          </w:tcPr>
          <w:p w14:paraId="7655197E">
            <w:pPr>
              <w:snapToGrid w:val="0"/>
              <w:ind w:left="0" w:leftChars="0" w:right="0" w:rightChars="0" w:firstLine="0" w:firstLineChars="0"/>
              <w:jc w:val="center"/>
              <w:rPr>
                <w:rFonts w:hint="eastAsia" w:ascii="仿宋" w:hAnsi="仿宋" w:eastAsia="仿宋" w:cs="仿宋"/>
                <w:color w:val="000000"/>
                <w:kern w:val="2"/>
                <w:sz w:val="28"/>
                <w:szCs w:val="28"/>
                <w:lang w:val="en-US" w:eastAsia="zh-CN" w:bidi="ar-SA"/>
              </w:rPr>
            </w:pPr>
          </w:p>
        </w:tc>
      </w:tr>
      <w:tr w14:paraId="5793F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jc w:val="center"/>
        </w:trPr>
        <w:tc>
          <w:tcPr>
            <w:tcW w:w="5000" w:type="pct"/>
            <w:gridSpan w:val="7"/>
            <w:tcBorders>
              <w:top w:val="single" w:color="000000" w:sz="4" w:space="0"/>
              <w:left w:val="single" w:color="000000" w:sz="12" w:space="0"/>
              <w:bottom w:val="single" w:color="000000" w:sz="12" w:space="0"/>
              <w:right w:val="single" w:color="000000" w:sz="12" w:space="0"/>
            </w:tcBorders>
            <w:noWrap w:val="0"/>
            <w:tcMar>
              <w:top w:w="-1" w:type="dxa"/>
              <w:left w:w="-1" w:type="dxa"/>
              <w:bottom w:w="-1" w:type="dxa"/>
              <w:right w:w="-1" w:type="dxa"/>
            </w:tcMar>
            <w:vAlign w:val="center"/>
          </w:tcPr>
          <w:p w14:paraId="550B33CD">
            <w:pPr>
              <w:snapToGrid w:val="0"/>
              <w:ind w:left="0" w:leftChars="0" w:right="0" w:rightChars="0" w:firstLine="0" w:firstLineChars="0"/>
              <w:jc w:val="center"/>
              <w:rPr>
                <w:rFonts w:hint="default" w:ascii="仿宋" w:hAnsi="仿宋" w:eastAsia="仿宋" w:cs="仿宋"/>
                <w:color w:val="000000"/>
                <w:kern w:val="2"/>
                <w:sz w:val="28"/>
                <w:szCs w:val="28"/>
                <w:u w:val="none"/>
                <w:lang w:val="en-US" w:eastAsia="zh-CN" w:bidi="ar-SA"/>
              </w:rPr>
            </w:pPr>
            <w:r>
              <w:rPr>
                <w:rFonts w:hint="eastAsia" w:ascii="仿宋" w:hAnsi="仿宋" w:eastAsia="仿宋" w:cs="仿宋"/>
                <w:color w:val="000000"/>
                <w:kern w:val="2"/>
                <w:sz w:val="28"/>
                <w:szCs w:val="28"/>
                <w:lang w:val="en-US" w:eastAsia="zh-CN" w:bidi="ar-SA"/>
              </w:rPr>
              <w:t>大写总价（元）：</w:t>
            </w:r>
            <w:r>
              <w:rPr>
                <w:rFonts w:hint="eastAsia" w:ascii="仿宋" w:hAnsi="仿宋" w:eastAsia="仿宋" w:cs="仿宋"/>
                <w:color w:val="000000"/>
                <w:kern w:val="2"/>
                <w:sz w:val="28"/>
                <w:szCs w:val="28"/>
                <w:u w:val="single"/>
                <w:lang w:val="en-US" w:eastAsia="zh-CN" w:bidi="ar-SA"/>
              </w:rPr>
              <w:t xml:space="preserve">            </w:t>
            </w:r>
            <w:r>
              <w:rPr>
                <w:rFonts w:hint="eastAsia" w:ascii="仿宋" w:hAnsi="仿宋" w:eastAsia="仿宋" w:cs="仿宋"/>
                <w:color w:val="000000"/>
                <w:kern w:val="2"/>
                <w:sz w:val="28"/>
                <w:szCs w:val="28"/>
                <w:u w:val="none"/>
                <w:lang w:val="en-US" w:eastAsia="zh-CN" w:bidi="ar-SA"/>
              </w:rPr>
              <w:t xml:space="preserve"> ；小写总价：</w:t>
            </w:r>
            <w:r>
              <w:rPr>
                <w:rFonts w:hint="eastAsia" w:ascii="仿宋" w:hAnsi="仿宋" w:eastAsia="仿宋" w:cs="仿宋"/>
                <w:color w:val="000000"/>
                <w:kern w:val="2"/>
                <w:sz w:val="28"/>
                <w:szCs w:val="28"/>
                <w:u w:val="single"/>
                <w:lang w:val="en-US" w:eastAsia="zh-CN" w:bidi="ar-SA"/>
              </w:rPr>
              <w:t xml:space="preserve">              </w:t>
            </w:r>
            <w:r>
              <w:rPr>
                <w:rFonts w:hint="eastAsia" w:ascii="仿宋" w:hAnsi="仿宋" w:eastAsia="仿宋" w:cs="仿宋"/>
                <w:color w:val="000000"/>
                <w:kern w:val="2"/>
                <w:sz w:val="28"/>
                <w:szCs w:val="28"/>
                <w:u w:val="none"/>
                <w:lang w:val="en-US" w:eastAsia="zh-CN" w:bidi="ar-SA"/>
              </w:rPr>
              <w:t>（万元）</w:t>
            </w:r>
          </w:p>
        </w:tc>
      </w:tr>
    </w:tbl>
    <w:p w14:paraId="29F88124">
      <w:pPr>
        <w:rPr>
          <w:rFonts w:hint="eastAsia"/>
          <w:lang w:val="en-US" w:eastAsia="zh-CN"/>
        </w:rPr>
      </w:pPr>
    </w:p>
    <w:p w14:paraId="59D0C6F3">
      <w:pPr>
        <w:jc w:val="left"/>
        <w:rPr>
          <w:rFonts w:hint="eastAsia" w:ascii="仿宋" w:hAnsi="仿宋" w:eastAsia="仿宋" w:cs="Times New Roman"/>
          <w:color w:val="0000FF"/>
          <w:kern w:val="2"/>
          <w:sz w:val="28"/>
          <w:szCs w:val="28"/>
          <w:lang w:val="en-US" w:eastAsia="zh-CN" w:bidi="ar-SA"/>
        </w:rPr>
      </w:pPr>
      <w:r>
        <w:rPr>
          <w:rFonts w:hint="eastAsia" w:ascii="仿宋" w:hAnsi="仿宋" w:eastAsia="仿宋" w:cs="Times New Roman"/>
          <w:color w:val="auto"/>
          <w:kern w:val="2"/>
          <w:sz w:val="28"/>
          <w:szCs w:val="28"/>
          <w:lang w:val="en-US" w:eastAsia="zh-CN" w:bidi="ar-SA"/>
        </w:rPr>
        <w:t>备注：报价表如有列举项目不全的，各报价公司可以在原表上添项，不能改变原表格内容，报价表最多保留小数点后两位。报价合计总价在列表末汇总，此报价单须单独密封。</w:t>
      </w:r>
    </w:p>
    <w:p w14:paraId="7D539EBD">
      <w:pPr>
        <w:rPr>
          <w:rFonts w:hint="eastAsia"/>
          <w:color w:val="auto"/>
          <w:lang w:val="en-US" w:eastAsia="zh-CN"/>
        </w:rPr>
      </w:pPr>
      <w:r>
        <w:rPr>
          <w:rFonts w:hint="eastAsia"/>
          <w:color w:val="auto"/>
          <w:lang w:val="en-US" w:eastAsia="zh-CN"/>
        </w:rPr>
        <w:br w:type="page"/>
      </w:r>
    </w:p>
    <w:p w14:paraId="37AC5681">
      <w:pPr>
        <w:spacing w:line="360" w:lineRule="auto"/>
        <w:outlineLvl w:val="1"/>
        <w:rPr>
          <w:color w:val="auto"/>
        </w:rPr>
      </w:pPr>
      <w:r>
        <w:rPr>
          <w:rFonts w:hint="eastAsia" w:ascii="黑体" w:hAnsi="黑体" w:eastAsia="黑体" w:cs="黑体"/>
          <w:color w:val="auto"/>
          <w:kern w:val="2"/>
          <w:sz w:val="32"/>
          <w:szCs w:val="32"/>
          <w:lang w:val="en-US" w:eastAsia="zh-CN" w:bidi="ar-SA"/>
        </w:rPr>
        <w:t>附件3：报名登记表</w:t>
      </w:r>
    </w:p>
    <w:p w14:paraId="11D5D951">
      <w:pPr>
        <w:jc w:val="center"/>
        <w:rPr>
          <w:rFonts w:ascii="华文中宋" w:hAnsi="华文中宋" w:eastAsia="华文中宋"/>
          <w:b/>
          <w:color w:val="auto"/>
          <w:sz w:val="36"/>
          <w:szCs w:val="36"/>
        </w:rPr>
      </w:pPr>
      <w:r>
        <w:rPr>
          <w:rFonts w:hint="eastAsia" w:ascii="华文中宋" w:hAnsi="华文中宋" w:eastAsia="华文中宋"/>
          <w:b/>
          <w:color w:val="auto"/>
          <w:sz w:val="36"/>
          <w:szCs w:val="36"/>
        </w:rPr>
        <w:t>报名登记表</w:t>
      </w:r>
    </w:p>
    <w:tbl>
      <w:tblPr>
        <w:tblStyle w:val="13"/>
        <w:tblpPr w:leftFromText="180" w:rightFromText="180" w:vertAnchor="text" w:horzAnchor="page" w:tblpX="1275" w:tblpY="100"/>
        <w:tblOverlap w:val="never"/>
        <w:tblW w:w="9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7"/>
        <w:gridCol w:w="1990"/>
        <w:gridCol w:w="1447"/>
        <w:gridCol w:w="2605"/>
      </w:tblGrid>
      <w:tr w14:paraId="6E79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64025D73">
            <w:pPr>
              <w:jc w:val="center"/>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报名项目名称（包号）</w:t>
            </w:r>
          </w:p>
        </w:tc>
        <w:tc>
          <w:tcPr>
            <w:tcW w:w="6042" w:type="dxa"/>
            <w:gridSpan w:val="3"/>
            <w:tcBorders>
              <w:top w:val="single" w:color="auto" w:sz="4" w:space="0"/>
              <w:left w:val="single" w:color="auto" w:sz="4" w:space="0"/>
              <w:bottom w:val="single" w:color="auto" w:sz="4" w:space="0"/>
              <w:right w:val="single" w:color="auto" w:sz="4" w:space="0"/>
            </w:tcBorders>
            <w:noWrap w:val="0"/>
            <w:vAlign w:val="center"/>
          </w:tcPr>
          <w:p w14:paraId="4CCB35A7">
            <w:pPr>
              <w:pStyle w:val="7"/>
              <w:jc w:val="center"/>
              <w:rPr>
                <w:rFonts w:hint="eastAsia" w:ascii="仿宋" w:hAnsi="仿宋" w:eastAsia="仿宋"/>
                <w:color w:val="auto"/>
                <w:kern w:val="2"/>
                <w:sz w:val="28"/>
                <w:szCs w:val="28"/>
                <w:lang w:val="en-US" w:eastAsia="zh-CN"/>
              </w:rPr>
            </w:pPr>
            <w:r>
              <w:rPr>
                <w:rFonts w:hint="eastAsia" w:ascii="仿宋" w:hAnsi="仿宋" w:eastAsia="仿宋"/>
                <w:color w:val="auto"/>
                <w:kern w:val="2"/>
                <w:sz w:val="28"/>
                <w:szCs w:val="28"/>
                <w:lang w:val="en-US" w:eastAsia="zh-CN"/>
              </w:rPr>
              <w:t>成都市新津区中医医院远程数字病理会诊服务采购项目询预算价</w:t>
            </w:r>
          </w:p>
        </w:tc>
      </w:tr>
      <w:tr w14:paraId="4A90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0FBD3EAE">
            <w:pPr>
              <w:ind w:firstLine="280" w:firstLineChars="100"/>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报名单位 /个人名称</w:t>
            </w:r>
          </w:p>
          <w:p w14:paraId="0CD2B98E">
            <w:pPr>
              <w:ind w:firstLine="236" w:firstLineChars="98"/>
              <w:rPr>
                <w:rFonts w:ascii="仿宋" w:hAnsi="仿宋" w:eastAsia="仿宋"/>
                <w:b/>
                <w:color w:val="auto"/>
                <w:kern w:val="2"/>
                <w:sz w:val="24"/>
                <w:szCs w:val="24"/>
              </w:rPr>
            </w:pPr>
            <w:r>
              <w:rPr>
                <w:rFonts w:hint="eastAsia" w:ascii="仿宋" w:hAnsi="仿宋" w:eastAsia="仿宋"/>
                <w:b/>
                <w:color w:val="auto"/>
                <w:kern w:val="2"/>
                <w:sz w:val="24"/>
                <w:szCs w:val="22"/>
              </w:rPr>
              <w:t>(统一社会信用代码/税号)</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61543E9F">
            <w:pPr>
              <w:jc w:val="center"/>
              <w:rPr>
                <w:rFonts w:hint="default" w:ascii="仿宋" w:hAnsi="仿宋" w:eastAsia="仿宋"/>
                <w:color w:val="auto"/>
                <w:kern w:val="2"/>
                <w:sz w:val="28"/>
                <w:szCs w:val="28"/>
                <w:lang w:val="en-US" w:eastAsia="zh-CN"/>
              </w:rPr>
            </w:pPr>
            <w:r>
              <w:rPr>
                <w:rFonts w:hint="eastAsia"/>
                <w:color w:val="auto"/>
                <w:kern w:val="2"/>
                <w:sz w:val="28"/>
                <w:szCs w:val="28"/>
                <w:lang w:val="en-US" w:eastAsia="zh-CN"/>
              </w:rPr>
              <w:t xml:space="preserve">                              （盖章）</w:t>
            </w:r>
          </w:p>
        </w:tc>
      </w:tr>
      <w:tr w14:paraId="27FF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0F2A20BC">
            <w:pPr>
              <w:jc w:val="center"/>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单位  / 个人地址</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12FF0918">
            <w:pPr>
              <w:jc w:val="center"/>
              <w:rPr>
                <w:rFonts w:ascii="仿宋" w:hAnsi="仿宋" w:eastAsia="仿宋"/>
                <w:color w:val="auto"/>
                <w:kern w:val="2"/>
                <w:sz w:val="28"/>
                <w:szCs w:val="28"/>
              </w:rPr>
            </w:pPr>
          </w:p>
        </w:tc>
      </w:tr>
      <w:tr w14:paraId="74FA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2A8C20EF">
            <w:pPr>
              <w:jc w:val="center"/>
              <w:rPr>
                <w:rFonts w:hint="eastAsia" w:ascii="仿宋" w:hAnsi="仿宋" w:eastAsia="仿宋"/>
                <w:color w:val="auto"/>
                <w:kern w:val="2"/>
                <w:sz w:val="28"/>
                <w:szCs w:val="28"/>
                <w:lang w:eastAsia="zh-CN"/>
              </w:rPr>
            </w:pPr>
            <w:r>
              <w:rPr>
                <w:rFonts w:hint="eastAsia" w:ascii="仿宋" w:hAnsi="仿宋" w:eastAsia="仿宋"/>
                <w:color w:val="auto"/>
                <w:kern w:val="2"/>
                <w:sz w:val="28"/>
                <w:szCs w:val="28"/>
              </w:rPr>
              <w:t>单位电话</w:t>
            </w:r>
            <w:r>
              <w:rPr>
                <w:rFonts w:hint="eastAsia" w:ascii="仿宋" w:hAnsi="仿宋" w:eastAsia="仿宋"/>
                <w:color w:val="auto"/>
                <w:kern w:val="2"/>
                <w:sz w:val="24"/>
                <w:szCs w:val="22"/>
              </w:rPr>
              <w:t xml:space="preserve"> </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0857CFC7">
            <w:pPr>
              <w:rPr>
                <w:rFonts w:ascii="仿宋" w:hAnsi="仿宋" w:eastAsia="仿宋"/>
                <w:color w:val="auto"/>
                <w:kern w:val="2"/>
                <w:sz w:val="24"/>
                <w:szCs w:val="24"/>
              </w:rPr>
            </w:pPr>
          </w:p>
        </w:tc>
      </w:tr>
      <w:tr w14:paraId="31CB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186C4445">
            <w:pPr>
              <w:jc w:val="center"/>
              <w:rPr>
                <w:rFonts w:ascii="仿宋" w:hAnsi="仿宋" w:eastAsia="仿宋"/>
                <w:color w:val="auto"/>
                <w:kern w:val="2"/>
                <w:sz w:val="28"/>
                <w:szCs w:val="28"/>
              </w:rPr>
            </w:pPr>
            <w:r>
              <w:rPr>
                <w:rFonts w:hint="eastAsia"/>
                <w:color w:val="auto"/>
                <w:kern w:val="2"/>
                <w:sz w:val="28"/>
                <w:szCs w:val="28"/>
                <w:lang w:val="en-US" w:eastAsia="zh-CN"/>
              </w:rPr>
              <w:t>*经办</w:t>
            </w:r>
            <w:r>
              <w:rPr>
                <w:rFonts w:hint="eastAsia" w:ascii="仿宋" w:hAnsi="仿宋" w:eastAsia="仿宋"/>
                <w:color w:val="auto"/>
                <w:kern w:val="2"/>
                <w:sz w:val="28"/>
                <w:szCs w:val="28"/>
              </w:rPr>
              <w:t>联系人</w:t>
            </w:r>
          </w:p>
        </w:tc>
        <w:tc>
          <w:tcPr>
            <w:tcW w:w="1990" w:type="dxa"/>
            <w:tcBorders>
              <w:top w:val="single" w:color="auto" w:sz="4" w:space="0"/>
              <w:left w:val="single" w:color="auto" w:sz="4" w:space="0"/>
              <w:bottom w:val="single" w:color="auto" w:sz="4" w:space="0"/>
              <w:right w:val="single" w:color="auto" w:sz="4" w:space="0"/>
            </w:tcBorders>
            <w:noWrap w:val="0"/>
            <w:vAlign w:val="top"/>
          </w:tcPr>
          <w:p w14:paraId="1A96C5A9">
            <w:pPr>
              <w:jc w:val="center"/>
              <w:rPr>
                <w:rFonts w:ascii="仿宋" w:hAnsi="仿宋" w:eastAsia="仿宋"/>
                <w:color w:val="auto"/>
                <w:kern w:val="2"/>
                <w:sz w:val="28"/>
                <w:szCs w:val="28"/>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05755E6C">
            <w:pPr>
              <w:jc w:val="center"/>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手 机</w:t>
            </w:r>
          </w:p>
        </w:tc>
        <w:tc>
          <w:tcPr>
            <w:tcW w:w="2605" w:type="dxa"/>
            <w:tcBorders>
              <w:top w:val="single" w:color="auto" w:sz="4" w:space="0"/>
              <w:left w:val="single" w:color="auto" w:sz="4" w:space="0"/>
              <w:bottom w:val="single" w:color="auto" w:sz="4" w:space="0"/>
              <w:right w:val="single" w:color="auto" w:sz="4" w:space="0"/>
            </w:tcBorders>
            <w:noWrap w:val="0"/>
            <w:vAlign w:val="top"/>
          </w:tcPr>
          <w:p w14:paraId="79394D50">
            <w:pPr>
              <w:jc w:val="center"/>
              <w:rPr>
                <w:rFonts w:ascii="仿宋" w:hAnsi="仿宋" w:eastAsia="仿宋"/>
                <w:color w:val="auto"/>
                <w:kern w:val="2"/>
                <w:sz w:val="28"/>
                <w:szCs w:val="28"/>
              </w:rPr>
            </w:pPr>
          </w:p>
        </w:tc>
      </w:tr>
      <w:tr w14:paraId="76A0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671671E4">
            <w:pPr>
              <w:jc w:val="center"/>
              <w:rPr>
                <w:rFonts w:ascii="仿宋" w:hAnsi="仿宋" w:eastAsia="仿宋"/>
                <w:color w:val="auto"/>
                <w:kern w:val="2"/>
                <w:sz w:val="28"/>
                <w:szCs w:val="28"/>
              </w:rPr>
            </w:pPr>
            <w:r>
              <w:rPr>
                <w:rFonts w:hint="eastAsia" w:ascii="仿宋" w:hAnsi="仿宋" w:eastAsia="仿宋"/>
                <w:color w:val="auto"/>
                <w:kern w:val="2"/>
                <w:sz w:val="28"/>
                <w:szCs w:val="28"/>
              </w:rPr>
              <w:t>邮     箱</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7F62C4E7">
            <w:pPr>
              <w:jc w:val="center"/>
              <w:rPr>
                <w:rFonts w:ascii="仿宋" w:hAnsi="仿宋" w:eastAsia="仿宋"/>
                <w:color w:val="auto"/>
                <w:kern w:val="2"/>
                <w:sz w:val="28"/>
                <w:szCs w:val="28"/>
              </w:rPr>
            </w:pPr>
          </w:p>
        </w:tc>
      </w:tr>
      <w:tr w14:paraId="09D2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660B1C73">
            <w:pPr>
              <w:jc w:val="center"/>
              <w:rPr>
                <w:rFonts w:ascii="仿宋" w:hAnsi="仿宋" w:eastAsia="仿宋"/>
                <w:color w:val="auto"/>
                <w:kern w:val="2"/>
                <w:sz w:val="28"/>
                <w:szCs w:val="28"/>
              </w:rPr>
            </w:pPr>
            <w:r>
              <w:rPr>
                <w:rFonts w:hint="eastAsia" w:ascii="仿宋" w:hAnsi="仿宋" w:eastAsia="仿宋"/>
                <w:color w:val="auto"/>
                <w:kern w:val="2"/>
                <w:sz w:val="28"/>
                <w:szCs w:val="28"/>
              </w:rPr>
              <w:t>备     注</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7EFE031A">
            <w:pPr>
              <w:rPr>
                <w:rFonts w:ascii="仿宋" w:hAnsi="仿宋" w:eastAsia="仿宋"/>
                <w:color w:val="auto"/>
                <w:kern w:val="2"/>
                <w:sz w:val="28"/>
                <w:szCs w:val="28"/>
              </w:rPr>
            </w:pPr>
          </w:p>
        </w:tc>
      </w:tr>
    </w:tbl>
    <w:p w14:paraId="28E9893F">
      <w:pPr>
        <w:jc w:val="both"/>
        <w:rPr>
          <w:rFonts w:ascii="Times New Roman"/>
          <w:color w:val="auto"/>
          <w:kern w:val="2"/>
          <w:sz w:val="21"/>
        </w:rPr>
      </w:pPr>
    </w:p>
    <w:p w14:paraId="6743D11D">
      <w:pPr>
        <w:spacing w:line="360" w:lineRule="auto"/>
        <w:rPr>
          <w:rFonts w:hint="default" w:ascii="仿宋" w:hAnsi="仿宋" w:eastAsia="仿宋" w:cs="Times New Roman"/>
          <w:color w:val="auto"/>
          <w:sz w:val="24"/>
          <w:szCs w:val="24"/>
          <w:lang w:val="en-US" w:eastAsia="zh-CN"/>
        </w:rPr>
      </w:pPr>
      <w:r>
        <w:rPr>
          <w:rFonts w:hint="eastAsia" w:ascii="仿宋" w:hAnsi="仿宋" w:eastAsia="仿宋" w:cs="Times New Roman"/>
          <w:color w:val="auto"/>
          <w:sz w:val="24"/>
          <w:szCs w:val="24"/>
        </w:rPr>
        <w:t xml:space="preserve">    </w:t>
      </w:r>
      <w:r>
        <w:rPr>
          <w:rFonts w:hint="eastAsia" w:ascii="仿宋" w:hAnsi="仿宋" w:eastAsia="仿宋" w:cs="Times New Roman"/>
          <w:color w:val="auto"/>
          <w:sz w:val="24"/>
          <w:szCs w:val="24"/>
          <w:lang w:eastAsia="zh-CN"/>
        </w:rPr>
        <w:t>采购单位联系人：</w:t>
      </w:r>
      <w:r>
        <w:rPr>
          <w:rFonts w:hint="eastAsia" w:ascii="仿宋" w:hAnsi="仿宋" w:eastAsia="仿宋" w:cs="Times New Roman"/>
          <w:color w:val="auto"/>
          <w:sz w:val="24"/>
          <w:szCs w:val="24"/>
          <w:lang w:val="en-US" w:eastAsia="zh-CN"/>
        </w:rPr>
        <w:t>潘老师、周</w:t>
      </w:r>
      <w:r>
        <w:rPr>
          <w:rFonts w:hint="eastAsia" w:ascii="仿宋" w:hAnsi="仿宋" w:eastAsia="仿宋" w:cs="Times New Roman"/>
          <w:color w:val="auto"/>
          <w:sz w:val="24"/>
          <w:szCs w:val="24"/>
          <w:lang w:eastAsia="zh-CN"/>
        </w:rPr>
        <w:t>老师</w:t>
      </w:r>
      <w:r>
        <w:rPr>
          <w:rFonts w:hint="eastAsia" w:ascii="仿宋" w:hAnsi="仿宋" w:eastAsia="仿宋" w:cs="Times New Roman"/>
          <w:color w:val="auto"/>
          <w:sz w:val="24"/>
          <w:szCs w:val="24"/>
          <w:lang w:val="en-US" w:eastAsia="zh-CN"/>
        </w:rPr>
        <w:t xml:space="preserve"> 028-82526150</w:t>
      </w:r>
      <w:r>
        <w:rPr>
          <w:rFonts w:hint="eastAsia" w:ascii="仿宋" w:hAnsi="仿宋" w:eastAsia="仿宋" w:cs="Times New Roman"/>
          <w:color w:val="auto"/>
          <w:sz w:val="24"/>
          <w:szCs w:val="24"/>
          <w:lang w:eastAsia="zh-CN"/>
        </w:rPr>
        <w:t>，</w:t>
      </w:r>
      <w:r>
        <w:rPr>
          <w:rFonts w:hint="eastAsia" w:ascii="仿宋" w:hAnsi="仿宋" w:eastAsia="仿宋" w:cs="Times New Roman"/>
          <w:color w:val="auto"/>
          <w:sz w:val="24"/>
          <w:szCs w:val="24"/>
          <w:lang w:val="en-US" w:eastAsia="zh-CN"/>
        </w:rPr>
        <w:t>邮箱845865477@qq.com</w:t>
      </w:r>
    </w:p>
    <w:p w14:paraId="3E4B405A">
      <w:pPr>
        <w:spacing w:line="360" w:lineRule="auto"/>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lang w:val="en-US" w:eastAsia="zh-CN"/>
        </w:rPr>
        <w:t>注:提供（1）报名登记表扫描件（2）投标单位营业执照正、副本复印件（3）经办人身份证复印件（以上三条均需加盖供应商公章，提供扫描至以上邮箱）（4）</w:t>
      </w:r>
      <w:r>
        <w:rPr>
          <w:rFonts w:hint="eastAsia" w:ascii="仿宋" w:hAnsi="仿宋" w:eastAsia="仿宋" w:cs="Times New Roman"/>
          <w:color w:val="auto"/>
          <w:sz w:val="24"/>
          <w:szCs w:val="24"/>
          <w:highlight w:val="none"/>
          <w:lang w:val="en-US" w:eastAsia="zh-CN"/>
        </w:rPr>
        <w:t>递交响应文件时，把以上3项资料盖章资料一并递交，此3项资料无需密封。</w:t>
      </w:r>
    </w:p>
    <w:p w14:paraId="25C40584">
      <w:pPr>
        <w:spacing w:line="360" w:lineRule="auto"/>
        <w:rPr>
          <w:color w:val="auto"/>
        </w:rPr>
      </w:pPr>
      <w:r>
        <w:rPr>
          <w:rFonts w:hint="eastAsia" w:ascii="仿宋" w:hAnsi="仿宋" w:eastAsia="仿宋" w:cs="Times New Roman"/>
          <w:color w:val="auto"/>
          <w:sz w:val="24"/>
          <w:szCs w:val="24"/>
          <w:lang w:eastAsia="zh-CN"/>
        </w:rPr>
        <w:t>投标单位购买招标文件时请如实认真填写报名登记表和投标人信息；若因投标单位提供的错误或不实信息，对其投标事宜造成影响的，由其投标单位自行承担所有责任。</w:t>
      </w:r>
    </w:p>
    <w:sectPr>
      <w:footerReference r:id="rId3" w:type="default"/>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F787AB-7BDD-4D5F-B999-516D12BB92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72031DF-5C21-4911-9FF5-6FA9FABA2776}"/>
  </w:font>
  <w:font w:name="Calibri Light">
    <w:panose1 w:val="020F0302020204030204"/>
    <w:charset w:val="00"/>
    <w:family w:val="auto"/>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3" w:fontKey="{DEA132F1-A3E4-44CB-9442-C8BB6A307D45}"/>
  </w:font>
  <w:font w:name="方正小标宋简体">
    <w:panose1 w:val="02000000000000000000"/>
    <w:charset w:val="86"/>
    <w:family w:val="script"/>
    <w:pitch w:val="default"/>
    <w:sig w:usb0="00000001" w:usb1="08000000" w:usb2="00000000" w:usb3="00000000" w:csb0="00040000" w:csb1="00000000"/>
    <w:embedRegular r:id="rId4" w:fontKey="{A7292431-B269-4E7D-9A30-5A33A9A22349}"/>
  </w:font>
  <w:font w:name="仿宋">
    <w:panose1 w:val="02010609060101010101"/>
    <w:charset w:val="86"/>
    <w:family w:val="auto"/>
    <w:pitch w:val="default"/>
    <w:sig w:usb0="800002BF" w:usb1="38CF7CFA" w:usb2="00000016" w:usb3="00000000" w:csb0="00040001" w:csb1="00000000"/>
    <w:embedRegular r:id="rId5" w:fontKey="{988023F0-26F4-4C77-A8C1-84847BBD9324}"/>
  </w:font>
  <w:font w:name="仿宋_GB2312">
    <w:altName w:val="仿宋"/>
    <w:panose1 w:val="02010609030101010101"/>
    <w:charset w:val="86"/>
    <w:family w:val="modern"/>
    <w:pitch w:val="default"/>
    <w:sig w:usb0="00000000" w:usb1="00000000" w:usb2="00000000" w:usb3="00000000" w:csb0="00040000" w:csb1="00000000"/>
    <w:embedRegular r:id="rId6" w:fontKey="{5A896188-1FC0-4FAB-9478-DB127F87FA64}"/>
  </w:font>
  <w:font w:name="华文中宋">
    <w:panose1 w:val="02010600040101010101"/>
    <w:charset w:val="86"/>
    <w:family w:val="auto"/>
    <w:pitch w:val="default"/>
    <w:sig w:usb0="00000287" w:usb1="080F0000" w:usb2="00000000" w:usb3="00000000" w:csb0="0004009F" w:csb1="DFD70000"/>
    <w:embedRegular r:id="rId7" w:fontKey="{B4547C7A-26CD-4E3E-AEB0-D90B722E823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2EC3C">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1986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F01986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7E4A69"/>
    <w:multiLevelType w:val="singleLevel"/>
    <w:tmpl w:val="A17E4A69"/>
    <w:lvl w:ilvl="0" w:tentative="0">
      <w:start w:val="2"/>
      <w:numFmt w:val="decimal"/>
      <w:suff w:val="nothing"/>
      <w:lvlText w:val="%1、"/>
      <w:lvlJc w:val="left"/>
    </w:lvl>
  </w:abstractNum>
  <w:abstractNum w:abstractNumId="1">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ind w:left="0" w:firstLine="0"/>
      </w:pPr>
      <w:rPr>
        <w:rFonts w:hint="eastAsia" w:ascii="宋体" w:hAnsi="宋体" w:eastAsia="宋体" w:cs="宋体"/>
      </w:rPr>
    </w:lvl>
    <w:lvl w:ilvl="2" w:tentative="0">
      <w:start w:val="1"/>
      <w:numFmt w:val="chineseCounting"/>
      <w:suff w:val="nothing"/>
      <w:lvlText w:val="(%3)"/>
      <w:lvlJc w:val="left"/>
      <w:pPr>
        <w:tabs>
          <w:tab w:val="left" w:pos="0"/>
        </w:tabs>
        <w:ind w:left="0" w:firstLine="0"/>
      </w:pPr>
      <w:rPr>
        <w:rFonts w:hint="eastAsia" w:ascii="宋体" w:hAnsi="宋体" w:eastAsia="宋体" w:cs="宋体"/>
      </w:rPr>
    </w:lvl>
    <w:lvl w:ilvl="3" w:tentative="0">
      <w:start w:val="1"/>
      <w:numFmt w:val="decimal"/>
      <w:pStyle w:val="19"/>
      <w:suff w:val="nothing"/>
      <w:lvlText w:val="%4."/>
      <w:lvlJc w:val="left"/>
      <w:pPr>
        <w:tabs>
          <w:tab w:val="left" w:pos="709"/>
        </w:tabs>
        <w:ind w:left="709"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E56B2D59"/>
    <w:multiLevelType w:val="singleLevel"/>
    <w:tmpl w:val="E56B2D59"/>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738DD"/>
    <w:rsid w:val="03147D24"/>
    <w:rsid w:val="03F41FC2"/>
    <w:rsid w:val="04E86B91"/>
    <w:rsid w:val="05202B27"/>
    <w:rsid w:val="05B77E21"/>
    <w:rsid w:val="06140401"/>
    <w:rsid w:val="08A45E49"/>
    <w:rsid w:val="094F5C0A"/>
    <w:rsid w:val="097B39EB"/>
    <w:rsid w:val="0A9B3267"/>
    <w:rsid w:val="0B5D63F7"/>
    <w:rsid w:val="0C781160"/>
    <w:rsid w:val="0C9A19A3"/>
    <w:rsid w:val="0CD85E9D"/>
    <w:rsid w:val="0E7A73DD"/>
    <w:rsid w:val="106B770F"/>
    <w:rsid w:val="10B14879"/>
    <w:rsid w:val="11213D01"/>
    <w:rsid w:val="11A5014C"/>
    <w:rsid w:val="12042B30"/>
    <w:rsid w:val="126F67ED"/>
    <w:rsid w:val="139E30AD"/>
    <w:rsid w:val="14574547"/>
    <w:rsid w:val="14F95BEF"/>
    <w:rsid w:val="18B340A6"/>
    <w:rsid w:val="190653E0"/>
    <w:rsid w:val="19842E1A"/>
    <w:rsid w:val="1A0E09F0"/>
    <w:rsid w:val="1B7C3AD4"/>
    <w:rsid w:val="1BD75F80"/>
    <w:rsid w:val="1C3F50B7"/>
    <w:rsid w:val="1CE3056C"/>
    <w:rsid w:val="1D610ED9"/>
    <w:rsid w:val="1EA56A31"/>
    <w:rsid w:val="1EEB62DA"/>
    <w:rsid w:val="216B5041"/>
    <w:rsid w:val="24036A14"/>
    <w:rsid w:val="259A0116"/>
    <w:rsid w:val="27A95C55"/>
    <w:rsid w:val="29656152"/>
    <w:rsid w:val="2A1F4553"/>
    <w:rsid w:val="2A4C77FE"/>
    <w:rsid w:val="2AB15651"/>
    <w:rsid w:val="2BBE3953"/>
    <w:rsid w:val="2C414E70"/>
    <w:rsid w:val="2C4A4172"/>
    <w:rsid w:val="2C731FE5"/>
    <w:rsid w:val="2DCE7F27"/>
    <w:rsid w:val="31D8451F"/>
    <w:rsid w:val="32D61FD9"/>
    <w:rsid w:val="32DF1FDC"/>
    <w:rsid w:val="341449FD"/>
    <w:rsid w:val="346408E5"/>
    <w:rsid w:val="35214AF1"/>
    <w:rsid w:val="36A24542"/>
    <w:rsid w:val="3CE235AE"/>
    <w:rsid w:val="3E9055C8"/>
    <w:rsid w:val="40980764"/>
    <w:rsid w:val="417814E9"/>
    <w:rsid w:val="440B7D6A"/>
    <w:rsid w:val="468E0480"/>
    <w:rsid w:val="4722587F"/>
    <w:rsid w:val="47A3117B"/>
    <w:rsid w:val="4A0855A2"/>
    <w:rsid w:val="4A38728F"/>
    <w:rsid w:val="4AA06B93"/>
    <w:rsid w:val="4BD034A7"/>
    <w:rsid w:val="4C782816"/>
    <w:rsid w:val="4D671A28"/>
    <w:rsid w:val="4F2627F5"/>
    <w:rsid w:val="4FC9093A"/>
    <w:rsid w:val="50992D05"/>
    <w:rsid w:val="529102F8"/>
    <w:rsid w:val="530C0109"/>
    <w:rsid w:val="533F3632"/>
    <w:rsid w:val="53857839"/>
    <w:rsid w:val="53B87967"/>
    <w:rsid w:val="548B440F"/>
    <w:rsid w:val="54A35606"/>
    <w:rsid w:val="54DE6EBF"/>
    <w:rsid w:val="552C4C9E"/>
    <w:rsid w:val="594D4AA0"/>
    <w:rsid w:val="59CC4666"/>
    <w:rsid w:val="5F70492E"/>
    <w:rsid w:val="60A95B25"/>
    <w:rsid w:val="60E70C20"/>
    <w:rsid w:val="63D25003"/>
    <w:rsid w:val="648A5332"/>
    <w:rsid w:val="64C86FBA"/>
    <w:rsid w:val="66D82E85"/>
    <w:rsid w:val="679C6C08"/>
    <w:rsid w:val="68796990"/>
    <w:rsid w:val="69245774"/>
    <w:rsid w:val="692F0EEA"/>
    <w:rsid w:val="69FA5E67"/>
    <w:rsid w:val="6A2C3362"/>
    <w:rsid w:val="6B171FE9"/>
    <w:rsid w:val="6C792A1B"/>
    <w:rsid w:val="6D8871EF"/>
    <w:rsid w:val="6D9B3ACA"/>
    <w:rsid w:val="6E493DC7"/>
    <w:rsid w:val="70694513"/>
    <w:rsid w:val="717645B6"/>
    <w:rsid w:val="71E76CD1"/>
    <w:rsid w:val="72EA3CE1"/>
    <w:rsid w:val="74C05C36"/>
    <w:rsid w:val="761E6201"/>
    <w:rsid w:val="76FB1360"/>
    <w:rsid w:val="7AEA1B74"/>
    <w:rsid w:val="7B1B5C3E"/>
    <w:rsid w:val="7C2330CA"/>
    <w:rsid w:val="7C4F2792"/>
    <w:rsid w:val="7C5739AD"/>
    <w:rsid w:val="7EDE3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3"/>
    <w:basedOn w:val="1"/>
    <w:unhideWhenUsed/>
    <w:qFormat/>
    <w:uiPriority w:val="99"/>
    <w:pPr>
      <w:jc w:val="center"/>
    </w:pPr>
    <w:rPr>
      <w:rFonts w:hint="eastAsia" w:hAnsi="Symbol"/>
      <w:sz w:val="10"/>
      <w:szCs w:val="24"/>
    </w:rPr>
  </w:style>
  <w:style w:type="paragraph" w:styleId="7">
    <w:name w:val="Body Text"/>
    <w:basedOn w:val="1"/>
    <w:qFormat/>
    <w:uiPriority w:val="99"/>
    <w:pPr>
      <w:spacing w:after="120"/>
    </w:pPr>
    <w:rPr>
      <w:rFonts w:ascii="宋体" w:hAnsi="Times New Roman"/>
      <w:kern w:val="0"/>
      <w:sz w:val="34"/>
      <w:szCs w:val="20"/>
    </w:rPr>
  </w:style>
  <w:style w:type="paragraph" w:styleId="8">
    <w:name w:val="Body Text Indent"/>
    <w:basedOn w:val="1"/>
    <w:qFormat/>
    <w:uiPriority w:val="0"/>
    <w:pPr>
      <w:spacing w:line="500" w:lineRule="exact"/>
      <w:ind w:left="832" w:leftChars="832" w:firstLine="433" w:firstLineChars="196"/>
    </w:pPr>
    <w:rPr>
      <w:sz w:val="24"/>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First Indent"/>
    <w:basedOn w:val="7"/>
    <w:qFormat/>
    <w:uiPriority w:val="0"/>
    <w:pPr>
      <w:widowControl w:val="0"/>
      <w:spacing w:after="120" w:afterLines="0" w:line="240" w:lineRule="auto"/>
      <w:ind w:firstLine="420" w:firstLineChars="100"/>
    </w:pPr>
  </w:style>
  <w:style w:type="paragraph" w:styleId="12">
    <w:name w:val="Body Text First Indent 2"/>
    <w:basedOn w:val="8"/>
    <w:qFormat/>
    <w:uiPriority w:val="0"/>
    <w:pPr>
      <w:spacing w:after="120" w:line="240" w:lineRule="auto"/>
      <w:ind w:left="420" w:leftChars="200" w:firstLine="420"/>
    </w:pPr>
    <w:rPr>
      <w:sz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正文1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7">
    <w:name w:val="List Paragraph"/>
    <w:basedOn w:val="1"/>
    <w:qFormat/>
    <w:uiPriority w:val="34"/>
    <w:pPr>
      <w:ind w:firstLine="420" w:firstLineChars="200"/>
    </w:pPr>
    <w:rPr>
      <w:rFonts w:ascii="Times New Roman"/>
      <w:szCs w:val="22"/>
    </w:rPr>
  </w:style>
  <w:style w:type="paragraph" w:customStyle="1" w:styleId="18">
    <w:name w:val="02、首行缩进2字符正文"/>
    <w:basedOn w:val="1"/>
    <w:qFormat/>
    <w:uiPriority w:val="0"/>
    <w:pPr>
      <w:tabs>
        <w:tab w:val="left" w:pos="0"/>
      </w:tabs>
      <w:wordWrap w:val="0"/>
      <w:topLinePunct/>
      <w:ind w:firstLine="480" w:firstLineChars="200"/>
    </w:pPr>
  </w:style>
  <w:style w:type="paragraph" w:customStyle="1" w:styleId="19">
    <w:name w:val="17“1.”四级标题"/>
    <w:basedOn w:val="18"/>
    <w:qFormat/>
    <w:uiPriority w:val="0"/>
    <w:pPr>
      <w:numPr>
        <w:ilvl w:val="3"/>
        <w:numId w:val="1"/>
      </w:numPr>
      <w:ind w:firstLine="803"/>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1004</Words>
  <Characters>1066</Characters>
  <Lines>0</Lines>
  <Paragraphs>0</Paragraphs>
  <TotalTime>0</TotalTime>
  <ScaleCrop>false</ScaleCrop>
  <LinksUpToDate>false</LinksUpToDate>
  <CharactersWithSpaces>1069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ASUS</cp:lastModifiedBy>
  <cp:lastPrinted>2026-04-14T07:14:00Z</cp:lastPrinted>
  <dcterms:modified xsi:type="dcterms:W3CDTF">2026-06-15T02:38:27Z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eyJoZGlkIjoiNDE1ZTFlMjFjZDEzODY3NmE0ZDIwNjM3NWU4ZDkyNWQiLCJ1c2VySWQiOiIzMzA3NDM0MzYifQ==</vt:lpwstr>
  </property>
  <property fmtid="{D5CDD505-2E9C-101B-9397-08002B2CF9AE}" pid="4" name="ICV">
    <vt:lpwstr>0630047BBB3C484884930188E5B445BA_13</vt:lpwstr>
  </property>
</Properties>
</file>