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F1F75">
      <w:pPr>
        <w:pStyle w:val="8"/>
        <w:jc w:val="center"/>
        <w:rPr>
          <w:rFonts w:hint="default"/>
          <w:lang w:val="en-US" w:eastAsia="zh-CN"/>
        </w:rPr>
      </w:pPr>
      <w:r>
        <w:rPr>
          <w:rFonts w:hint="default"/>
          <w:lang w:val="en-US" w:eastAsia="zh-CN"/>
        </w:rPr>
        <w:t>成都市新津区中医医院DRG、院感系统运维及传染病前置软件数据质量提升</w:t>
      </w:r>
      <w:r>
        <w:rPr>
          <w:rFonts w:hint="eastAsia"/>
          <w:lang w:val="en-US" w:eastAsia="zh-CN"/>
        </w:rPr>
        <w:t>采购</w:t>
      </w:r>
      <w:r>
        <w:rPr>
          <w:rFonts w:hint="default"/>
          <w:lang w:val="en-US" w:eastAsia="zh-CN"/>
        </w:rPr>
        <w:t>项目询预算价公示</w:t>
      </w:r>
    </w:p>
    <w:p w14:paraId="788E69FF">
      <w:pPr>
        <w:rPr>
          <w:rFonts w:hint="default"/>
          <w:lang w:val="en-US" w:eastAsia="zh-CN"/>
        </w:rPr>
      </w:pPr>
    </w:p>
    <w:p w14:paraId="6935F4C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各潜在供应商：</w:t>
      </w:r>
    </w:p>
    <w:p w14:paraId="5A1572C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医院业务需要，我院拟采购DRG、院感系统运维及传染病前置软件数据质量提升项目。现将具体采购需求公告如下，各潜在供应商如有意向参与，请主动与我院联系，并在公示期内提供以下资料，以便初步甄选。</w:t>
      </w:r>
    </w:p>
    <w:p w14:paraId="0E37FD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kern w:val="2"/>
          <w:sz w:val="32"/>
          <w:szCs w:val="32"/>
          <w:lang w:val="en-US" w:eastAsia="zh-CN" w:bidi="ar-SA"/>
        </w:rPr>
        <w:t>一、</w:t>
      </w:r>
      <w:r>
        <w:rPr>
          <w:rFonts w:hint="eastAsia" w:ascii="黑体" w:hAnsi="黑体" w:eastAsia="黑体" w:cs="黑体"/>
          <w:b w:val="0"/>
          <w:bCs w:val="0"/>
          <w:color w:val="auto"/>
          <w:sz w:val="32"/>
          <w:szCs w:val="32"/>
        </w:rPr>
        <w:t>公司情况介绍</w:t>
      </w:r>
    </w:p>
    <w:p w14:paraId="40A9FF6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1、公司相关业务情况、业绩简介。</w:t>
      </w:r>
    </w:p>
    <w:p w14:paraId="2E4A79C4">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lang w:val="en-US" w:eastAsia="zh-CN"/>
        </w:rPr>
      </w:pPr>
      <w:r>
        <w:rPr>
          <w:rFonts w:hint="eastAsia" w:ascii="仿宋" w:hAnsi="仿宋" w:eastAsia="仿宋" w:cs="仿宋"/>
          <w:color w:val="auto"/>
          <w:sz w:val="28"/>
          <w:szCs w:val="28"/>
          <w:lang w:val="en-US" w:eastAsia="zh-CN"/>
        </w:rPr>
        <w:t>2、公司营业执照复印件；公司法人身份证复印件或授权委托书及授权委托人身份证复印件。</w:t>
      </w:r>
    </w:p>
    <w:p w14:paraId="2B06F9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报名要求</w:t>
      </w:r>
    </w:p>
    <w:p w14:paraId="11E7386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1、资料必须密封，现场递交成都市新津区中医医院采购办（医院行政办公区二楼）。</w:t>
      </w:r>
    </w:p>
    <w:p w14:paraId="696CA85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2、报价资料需按照医院要求格式报价。（附件2）</w:t>
      </w:r>
    </w:p>
    <w:p w14:paraId="3472BAC9">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3、提供电子版报价资料和相关服务方案简介资料，可优化和细化功能参数，以便医院甄选使用（</w:t>
      </w:r>
      <w:r>
        <w:rPr>
          <w:rFonts w:hint="eastAsia" w:ascii="仿宋" w:hAnsi="仿宋" w:eastAsia="仿宋" w:cs="仿宋"/>
          <w:b/>
          <w:bCs/>
          <w:color w:val="FF0000"/>
          <w:sz w:val="28"/>
          <w:szCs w:val="28"/>
          <w:lang w:val="en-US" w:eastAsia="zh-CN"/>
        </w:rPr>
        <w:t>本项目无需电子报价</w:t>
      </w:r>
      <w:r>
        <w:rPr>
          <w:rFonts w:hint="eastAsia" w:ascii="仿宋" w:hAnsi="仿宋" w:eastAsia="仿宋" w:cs="仿宋"/>
          <w:color w:val="auto"/>
          <w:sz w:val="28"/>
          <w:szCs w:val="28"/>
          <w:lang w:val="en-US" w:eastAsia="zh-CN"/>
        </w:rPr>
        <w:t>）</w:t>
      </w:r>
    </w:p>
    <w:p w14:paraId="07344577">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4、参与供应商应符合《政府采购法》第二十二条的相关资质要求，具备相关资质。并提供相关证明材料或承诺函。 </w:t>
      </w:r>
    </w:p>
    <w:p w14:paraId="3FD3A072">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5、拟参与本项目的供应商如需了解项目情况，自行对接该项目负责人了解相关信息。</w:t>
      </w:r>
    </w:p>
    <w:p w14:paraId="12A767F5">
      <w:pPr>
        <w:spacing w:line="360" w:lineRule="auto"/>
        <w:ind w:firstLine="560" w:firstLineChars="200"/>
        <w:jc w:val="left"/>
        <w:rPr>
          <w:color w:val="auto"/>
        </w:rPr>
      </w:pPr>
      <w:r>
        <w:rPr>
          <w:rFonts w:hint="eastAsia" w:ascii="仿宋" w:hAnsi="仿宋" w:eastAsia="仿宋" w:cs="仿宋"/>
          <w:color w:val="auto"/>
          <w:sz w:val="28"/>
          <w:szCs w:val="28"/>
          <w:lang w:val="en-US" w:eastAsia="zh-CN"/>
        </w:rPr>
        <w:t>6、所有递交资料及相关证明材料必须加盖供应商鲜章有效。</w:t>
      </w:r>
    </w:p>
    <w:p w14:paraId="71D435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本次公开询价结果只作为本项目采购预算价，不作为成交价。</w:t>
      </w:r>
    </w:p>
    <w:p w14:paraId="10DE0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rPr>
        <w:t>其他事项</w:t>
      </w:r>
    </w:p>
    <w:p w14:paraId="6D95AFB9">
      <w:pPr>
        <w:spacing w:line="360" w:lineRule="auto"/>
        <w:ind w:firstLine="560" w:firstLineChars="200"/>
        <w:jc w:val="left"/>
        <w:rPr>
          <w:rFonts w:hint="default" w:ascii="仿宋" w:hAnsi="仿宋" w:eastAsia="仿宋" w:cs="仿宋"/>
          <w:color w:val="auto"/>
          <w:sz w:val="28"/>
          <w:szCs w:val="28"/>
          <w:lang w:val="en-US" w:eastAsia="zh-CN"/>
        </w:rPr>
      </w:pPr>
      <w:bookmarkStart w:id="0" w:name="_Toc20249"/>
      <w:bookmarkStart w:id="1" w:name="_Toc20665"/>
      <w:r>
        <w:rPr>
          <w:rFonts w:hint="eastAsia" w:ascii="仿宋" w:hAnsi="仿宋" w:eastAsia="仿宋" w:cs="仿宋"/>
          <w:color w:val="auto"/>
          <w:sz w:val="28"/>
          <w:szCs w:val="28"/>
          <w:lang w:val="en-US" w:eastAsia="zh-CN"/>
        </w:rPr>
        <w:t>1、报名资料接收时间：（2026年6月11日-2026年6月16日；文件接收截止日期：2026年6月18日16：00）递交资料人员须为法人或授权委托人并提供证明文件查看。报名登记表见附件3。</w:t>
      </w:r>
    </w:p>
    <w:p w14:paraId="199E5CEB">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2、公示人：成都市新津区中医医院 地址：成都市新津区西创大道1389号。</w:t>
      </w:r>
    </w:p>
    <w:p w14:paraId="76DA81BE">
      <w:pPr>
        <w:spacing w:line="360" w:lineRule="auto"/>
        <w:ind w:firstLine="560" w:firstLineChars="200"/>
        <w:jc w:val="left"/>
        <w:rPr>
          <w:rFonts w:hint="default" w:hAnsi="宋体" w:cs="仿宋_GB2312"/>
          <w:color w:val="auto"/>
          <w:sz w:val="28"/>
          <w:szCs w:val="28"/>
          <w:lang w:val="en-US" w:eastAsia="zh-CN"/>
        </w:rPr>
      </w:pPr>
      <w:r>
        <w:rPr>
          <w:rFonts w:hint="eastAsia" w:ascii="仿宋" w:hAnsi="仿宋" w:eastAsia="仿宋" w:cs="仿宋"/>
          <w:color w:val="auto"/>
          <w:sz w:val="28"/>
          <w:szCs w:val="28"/>
          <w:lang w:val="en-US" w:eastAsia="zh-CN"/>
        </w:rPr>
        <w:t>3、报名联系人：潘老师、周老师028-82526150 ；项目咨询联系人：周老师，18215605686。</w:t>
      </w:r>
    </w:p>
    <w:p w14:paraId="15A5F5EB">
      <w:pPr>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4、报名供应商可通过邮箱845865477@qq.com报名。报名需提交报名登记表及登记表要求的相关资质资料（盖公章）。</w:t>
      </w:r>
    </w:p>
    <w:p w14:paraId="0E178DE3">
      <w:pPr>
        <w:numPr>
          <w:ilvl w:val="0"/>
          <w:numId w:val="0"/>
        </w:numPr>
        <w:spacing w:line="560" w:lineRule="exact"/>
        <w:rPr>
          <w:rFonts w:hint="eastAsia" w:ascii="仿宋" w:hAnsi="仿宋" w:eastAsia="仿宋" w:cs="仿宋"/>
          <w:b/>
          <w:bCs/>
          <w:color w:val="auto"/>
          <w:sz w:val="32"/>
          <w:szCs w:val="32"/>
          <w:lang w:val="en-US" w:eastAsia="zh-CN"/>
        </w:rPr>
      </w:pPr>
    </w:p>
    <w:p w14:paraId="3B8A18D4">
      <w:pPr>
        <w:numPr>
          <w:ilvl w:val="0"/>
          <w:numId w:val="0"/>
        </w:numPr>
        <w:spacing w:line="560" w:lineRule="exact"/>
        <w:rPr>
          <w:rFonts w:hint="eastAsia" w:ascii="仿宋" w:hAnsi="仿宋" w:eastAsia="仿宋" w:cs="仿宋"/>
          <w:b/>
          <w:bCs/>
          <w:color w:val="auto"/>
          <w:sz w:val="32"/>
          <w:szCs w:val="32"/>
          <w:lang w:val="en-US" w:eastAsia="zh-CN"/>
        </w:rPr>
      </w:pPr>
    </w:p>
    <w:p w14:paraId="5B9D38CE">
      <w:pPr>
        <w:pStyle w:val="8"/>
        <w:rPr>
          <w:rFonts w:hint="eastAsia" w:ascii="仿宋" w:hAnsi="仿宋" w:eastAsia="仿宋" w:cs="仿宋"/>
          <w:b/>
          <w:bCs/>
          <w:color w:val="auto"/>
          <w:sz w:val="32"/>
          <w:szCs w:val="32"/>
          <w:lang w:val="en-US" w:eastAsia="zh-CN"/>
        </w:rPr>
      </w:pPr>
    </w:p>
    <w:p w14:paraId="4FD792A6">
      <w:pPr>
        <w:rPr>
          <w:rFonts w:hint="eastAsia" w:ascii="仿宋" w:hAnsi="仿宋" w:eastAsia="仿宋" w:cs="仿宋"/>
          <w:b/>
          <w:bCs/>
          <w:color w:val="auto"/>
          <w:sz w:val="32"/>
          <w:szCs w:val="32"/>
          <w:lang w:val="en-US" w:eastAsia="zh-CN"/>
        </w:rPr>
      </w:pPr>
    </w:p>
    <w:p w14:paraId="730ABB81">
      <w:pPr>
        <w:pStyle w:val="8"/>
        <w:rPr>
          <w:rFonts w:hint="eastAsia" w:ascii="仿宋" w:hAnsi="仿宋" w:eastAsia="仿宋" w:cs="仿宋"/>
          <w:b/>
          <w:bCs/>
          <w:color w:val="auto"/>
          <w:sz w:val="32"/>
          <w:szCs w:val="32"/>
          <w:lang w:val="en-US" w:eastAsia="zh-CN"/>
        </w:rPr>
      </w:pPr>
    </w:p>
    <w:p w14:paraId="1C01C2A0">
      <w:pPr>
        <w:rPr>
          <w:rFonts w:hint="eastAsia" w:ascii="仿宋" w:hAnsi="仿宋" w:eastAsia="仿宋" w:cs="仿宋"/>
          <w:b/>
          <w:bCs/>
          <w:color w:val="auto"/>
          <w:sz w:val="32"/>
          <w:szCs w:val="32"/>
          <w:lang w:val="en-US" w:eastAsia="zh-CN"/>
        </w:rPr>
      </w:pPr>
    </w:p>
    <w:p w14:paraId="266F3B45">
      <w:pPr>
        <w:pStyle w:val="8"/>
        <w:rPr>
          <w:rFonts w:hint="eastAsia" w:ascii="仿宋" w:hAnsi="仿宋" w:eastAsia="仿宋" w:cs="仿宋"/>
          <w:b/>
          <w:bCs/>
          <w:color w:val="auto"/>
          <w:sz w:val="32"/>
          <w:szCs w:val="32"/>
          <w:lang w:val="en-US" w:eastAsia="zh-CN"/>
        </w:rPr>
      </w:pPr>
    </w:p>
    <w:p w14:paraId="78A31571">
      <w:pPr>
        <w:rPr>
          <w:rFonts w:hint="eastAsia" w:ascii="仿宋" w:hAnsi="仿宋" w:eastAsia="仿宋" w:cs="仿宋"/>
          <w:b/>
          <w:bCs/>
          <w:color w:val="auto"/>
          <w:sz w:val="32"/>
          <w:szCs w:val="32"/>
          <w:lang w:val="en-US" w:eastAsia="zh-CN"/>
        </w:rPr>
      </w:pPr>
    </w:p>
    <w:bookmarkEnd w:id="0"/>
    <w:bookmarkEnd w:id="1"/>
    <w:p w14:paraId="03B6AB8A">
      <w:pPr>
        <w:keepNext w:val="0"/>
        <w:keepLines w:val="0"/>
        <w:pageBreakBefore w:val="0"/>
        <w:numPr>
          <w:ilvl w:val="0"/>
          <w:numId w:val="0"/>
        </w:numPr>
        <w:kinsoku/>
        <w:wordWrap/>
        <w:overflowPunct/>
        <w:topLinePunct w:val="0"/>
        <w:autoSpaceDE/>
        <w:autoSpaceDN/>
        <w:bidi w:val="0"/>
        <w:adjustRightInd/>
        <w:snapToGrid/>
        <w:spacing w:line="500" w:lineRule="exact"/>
        <w:jc w:val="center"/>
        <w:rPr>
          <w:rFonts w:hint="eastAsia" w:ascii="仿宋" w:hAnsi="仿宋" w:eastAsia="仿宋" w:cs="仿宋"/>
          <w:b/>
          <w:bCs/>
          <w:sz w:val="28"/>
          <w:szCs w:val="28"/>
          <w:highlight w:val="yellow"/>
          <w:lang w:val="en-US" w:eastAsia="zh-CN"/>
        </w:rPr>
      </w:pPr>
    </w:p>
    <w:p w14:paraId="689BD923">
      <w:pPr>
        <w:keepNext w:val="0"/>
        <w:keepLines w:val="0"/>
        <w:pageBreakBefore w:val="0"/>
        <w:numPr>
          <w:ilvl w:val="0"/>
          <w:numId w:val="0"/>
        </w:numPr>
        <w:kinsoku/>
        <w:wordWrap/>
        <w:overflowPunct/>
        <w:topLinePunct w:val="0"/>
        <w:autoSpaceDE/>
        <w:autoSpaceDN/>
        <w:bidi w:val="0"/>
        <w:adjustRightInd/>
        <w:snapToGrid/>
        <w:spacing w:line="500" w:lineRule="exact"/>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highlight w:val="yellow"/>
          <w:lang w:val="en-US" w:eastAsia="zh-CN"/>
        </w:rPr>
        <w:t>包一：DRG系统运维服务</w:t>
      </w:r>
    </w:p>
    <w:p w14:paraId="042D16E5">
      <w:pPr>
        <w:keepNext w:val="0"/>
        <w:keepLines w:val="0"/>
        <w:pageBreakBefore w:val="0"/>
        <w:numPr>
          <w:ilvl w:val="0"/>
          <w:numId w:val="0"/>
        </w:numPr>
        <w:kinsoku/>
        <w:wordWrap/>
        <w:overflowPunct/>
        <w:topLinePunct w:val="0"/>
        <w:autoSpaceDE/>
        <w:autoSpaceDN/>
        <w:bidi w:val="0"/>
        <w:adjustRightInd/>
        <w:snapToGrid/>
        <w:spacing w:line="500" w:lineRule="exact"/>
        <w:jc w:val="both"/>
        <w:rPr>
          <w:rFonts w:hint="eastAsia" w:ascii="黑体" w:hAnsi="黑体" w:eastAsia="黑体" w:cs="黑体"/>
          <w:b w:val="0"/>
          <w:bCs w:val="0"/>
          <w:color w:val="auto"/>
          <w:sz w:val="28"/>
          <w:szCs w:val="28"/>
          <w:highlight w:val="none"/>
        </w:rPr>
      </w:pPr>
    </w:p>
    <w:p w14:paraId="3616441C">
      <w:pPr>
        <w:keepNext w:val="0"/>
        <w:keepLines w:val="0"/>
        <w:pageBreakBefore w:val="0"/>
        <w:numPr>
          <w:ilvl w:val="0"/>
          <w:numId w:val="0"/>
        </w:numPr>
        <w:kinsoku/>
        <w:wordWrap/>
        <w:overflowPunct/>
        <w:topLinePunct w:val="0"/>
        <w:autoSpaceDE/>
        <w:autoSpaceDN/>
        <w:bidi w:val="0"/>
        <w:adjustRightInd/>
        <w:snapToGrid/>
        <w:spacing w:line="500" w:lineRule="exact"/>
        <w:rPr>
          <w:rFonts w:hint="default" w:ascii="黑体" w:hAnsi="黑体" w:eastAsia="黑体" w:cs="黑体"/>
          <w:b w:val="0"/>
          <w:bCs w:val="0"/>
          <w:color w:val="auto"/>
          <w:kern w:val="2"/>
          <w:sz w:val="36"/>
          <w:szCs w:val="36"/>
          <w:lang w:val="en-US" w:eastAsia="zh-CN" w:bidi="ar-SA"/>
        </w:rPr>
      </w:pPr>
      <w:r>
        <w:rPr>
          <w:rFonts w:hint="eastAsia" w:ascii="黑体" w:hAnsi="黑体" w:eastAsia="黑体" w:cs="黑体"/>
          <w:b w:val="0"/>
          <w:bCs w:val="0"/>
          <w:color w:val="auto"/>
          <w:sz w:val="28"/>
          <w:szCs w:val="28"/>
          <w:highlight w:val="none"/>
        </w:rPr>
        <w:t>★</w:t>
      </w:r>
      <w:r>
        <w:rPr>
          <w:rFonts w:hint="eastAsia" w:ascii="仿宋" w:hAnsi="仿宋" w:eastAsia="仿宋" w:cs="仿宋"/>
          <w:b/>
          <w:bCs/>
          <w:sz w:val="28"/>
          <w:szCs w:val="28"/>
          <w:lang w:val="en-US" w:eastAsia="zh-CN"/>
        </w:rPr>
        <w:t>一</w:t>
      </w:r>
      <w:r>
        <w:rPr>
          <w:rFonts w:hint="eastAsia" w:ascii="黑体" w:hAnsi="黑体" w:eastAsia="黑体" w:cs="黑体"/>
          <w:b w:val="0"/>
          <w:bCs w:val="0"/>
          <w:color w:val="auto"/>
          <w:kern w:val="2"/>
          <w:sz w:val="36"/>
          <w:szCs w:val="36"/>
          <w:lang w:val="en-US" w:eastAsia="zh-CN" w:bidi="ar-SA"/>
        </w:rPr>
        <w:t>、</w:t>
      </w:r>
      <w:r>
        <w:rPr>
          <w:rFonts w:hint="eastAsia" w:ascii="黑体" w:hAnsi="黑体" w:eastAsia="黑体" w:cs="黑体"/>
          <w:b w:val="0"/>
          <w:bCs w:val="0"/>
          <w:color w:val="auto"/>
          <w:kern w:val="2"/>
          <w:sz w:val="28"/>
          <w:szCs w:val="28"/>
          <w:lang w:val="en-US" w:eastAsia="zh-CN" w:bidi="ar-SA"/>
        </w:rPr>
        <w:t>采购需求</w:t>
      </w:r>
    </w:p>
    <w:p w14:paraId="47144E9F">
      <w:pPr>
        <w:pStyle w:val="28"/>
        <w:numPr>
          <w:ilvl w:val="0"/>
          <w:numId w:val="0"/>
        </w:numPr>
        <w:spacing w:line="360" w:lineRule="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组织实施</w:t>
      </w:r>
      <w:r>
        <w:rPr>
          <w:rFonts w:hint="eastAsia" w:ascii="仿宋" w:hAnsi="仿宋" w:eastAsia="仿宋" w:cs="仿宋"/>
          <w:sz w:val="28"/>
          <w:szCs w:val="28"/>
          <w:lang w:val="en-US" w:eastAsia="zh-CN"/>
        </w:rPr>
        <w:t>软件（模块见附件）定期排查服务(一年不低于4次)，保障稳定运行</w:t>
      </w:r>
      <w:r>
        <w:rPr>
          <w:rFonts w:hint="eastAsia" w:ascii="仿宋" w:hAnsi="仿宋" w:eastAsia="仿宋" w:cs="仿宋"/>
          <w:sz w:val="28"/>
          <w:szCs w:val="28"/>
        </w:rPr>
        <w:t>；</w:t>
      </w:r>
    </w:p>
    <w:p w14:paraId="49FA923F">
      <w:pPr>
        <w:pStyle w:val="28"/>
        <w:numPr>
          <w:ilvl w:val="0"/>
          <w:numId w:val="0"/>
        </w:numPr>
        <w:spacing w:line="360" w:lineRule="auto"/>
        <w:ind w:leftChars="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提供对相关人员的技术培训服务</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对系统不熟悉的业务科室进行指导培训</w:t>
      </w:r>
      <w:r>
        <w:rPr>
          <w:rFonts w:hint="eastAsia" w:ascii="仿宋" w:hAnsi="仿宋" w:eastAsia="仿宋" w:cs="仿宋"/>
          <w:sz w:val="28"/>
          <w:szCs w:val="28"/>
        </w:rPr>
        <w:t>；</w:t>
      </w:r>
    </w:p>
    <w:p w14:paraId="3E87B1A9">
      <w:pPr>
        <w:pStyle w:val="28"/>
        <w:numPr>
          <w:ilvl w:val="0"/>
          <w:numId w:val="0"/>
        </w:numPr>
        <w:spacing w:line="360" w:lineRule="auto"/>
        <w:ind w:leftChars="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负责做好信息化系统安全技术</w:t>
      </w:r>
      <w:r>
        <w:rPr>
          <w:rFonts w:hint="eastAsia" w:ascii="仿宋" w:hAnsi="仿宋" w:eastAsia="仿宋" w:cs="仿宋"/>
          <w:sz w:val="28"/>
          <w:szCs w:val="28"/>
          <w:lang w:eastAsia="zh-CN"/>
        </w:rPr>
        <w:t>，</w:t>
      </w:r>
      <w:r>
        <w:rPr>
          <w:rFonts w:hint="eastAsia" w:ascii="仿宋" w:hAnsi="仿宋" w:eastAsia="仿宋" w:cs="仿宋"/>
          <w:sz w:val="28"/>
          <w:szCs w:val="28"/>
        </w:rPr>
        <w:t>保障值班工作及重大活动期间的现场技术保障服务；</w:t>
      </w:r>
    </w:p>
    <w:p w14:paraId="66994FF2">
      <w:pPr>
        <w:pStyle w:val="28"/>
        <w:numPr>
          <w:ilvl w:val="0"/>
          <w:numId w:val="0"/>
        </w:numPr>
        <w:spacing w:line="360" w:lineRule="auto"/>
        <w:ind w:leftChars="0"/>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提供软件（模块）在运行中的故障带来的排错工作，解决系统运行故障</w:t>
      </w:r>
      <w:r>
        <w:rPr>
          <w:rFonts w:hint="eastAsia" w:ascii="仿宋" w:hAnsi="仿宋" w:eastAsia="仿宋" w:cs="仿宋"/>
          <w:sz w:val="28"/>
          <w:szCs w:val="28"/>
          <w:lang w:eastAsia="zh-CN"/>
        </w:rPr>
        <w:t>，软件故障发生后1小时内响应与修复</w:t>
      </w:r>
      <w:r>
        <w:rPr>
          <w:rFonts w:hint="eastAsia" w:ascii="仿宋" w:hAnsi="仿宋" w:eastAsia="仿宋" w:cs="仿宋"/>
          <w:sz w:val="28"/>
          <w:szCs w:val="28"/>
        </w:rPr>
        <w:t>。</w:t>
      </w:r>
    </w:p>
    <w:p w14:paraId="2D8DB533">
      <w:pPr>
        <w:pStyle w:val="28"/>
        <w:numPr>
          <w:ilvl w:val="0"/>
          <w:numId w:val="0"/>
        </w:numPr>
        <w:spacing w:line="360" w:lineRule="auto"/>
        <w:ind w:leftChars="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提供软件（模块）与</w:t>
      </w:r>
      <w:r>
        <w:rPr>
          <w:rFonts w:hint="eastAsia" w:ascii="仿宋" w:hAnsi="仿宋" w:eastAsia="仿宋" w:cs="仿宋"/>
          <w:sz w:val="28"/>
          <w:szCs w:val="28"/>
          <w:lang w:val="en-US" w:eastAsia="zh-CN"/>
        </w:rPr>
        <w:t>其他</w:t>
      </w:r>
      <w:r>
        <w:rPr>
          <w:rFonts w:hint="eastAsia" w:ascii="仿宋" w:hAnsi="仿宋" w:eastAsia="仿宋" w:cs="仿宋"/>
          <w:sz w:val="28"/>
          <w:szCs w:val="28"/>
        </w:rPr>
        <w:t>系统软件及数据库系统适配带来的调整工作。</w:t>
      </w:r>
    </w:p>
    <w:p w14:paraId="27640138">
      <w:pPr>
        <w:pStyle w:val="28"/>
        <w:numPr>
          <w:ilvl w:val="0"/>
          <w:numId w:val="0"/>
        </w:numPr>
        <w:spacing w:line="360" w:lineRule="auto"/>
        <w:ind w:leftChars="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因操作失误造成的数据混乱</w:t>
      </w:r>
      <w:r>
        <w:rPr>
          <w:rFonts w:hint="eastAsia" w:ascii="仿宋" w:hAnsi="仿宋" w:eastAsia="仿宋" w:cs="仿宋"/>
          <w:sz w:val="28"/>
          <w:szCs w:val="28"/>
          <w:lang w:val="en-US" w:eastAsia="zh-CN"/>
        </w:rPr>
        <w:t>问题处理</w:t>
      </w:r>
      <w:r>
        <w:rPr>
          <w:rFonts w:hint="eastAsia" w:ascii="仿宋" w:hAnsi="仿宋" w:eastAsia="仿宋" w:cs="仿宋"/>
          <w:sz w:val="28"/>
          <w:szCs w:val="28"/>
        </w:rPr>
        <w:t>。</w:t>
      </w:r>
    </w:p>
    <w:p w14:paraId="5A565382">
      <w:pPr>
        <w:pStyle w:val="28"/>
        <w:numPr>
          <w:ilvl w:val="0"/>
          <w:numId w:val="0"/>
        </w:numPr>
        <w:spacing w:line="360" w:lineRule="auto"/>
        <w:ind w:leftChars="0"/>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需提供指导</w:t>
      </w:r>
      <w:r>
        <w:rPr>
          <w:rFonts w:hint="eastAsia" w:ascii="仿宋" w:hAnsi="仿宋" w:eastAsia="仿宋" w:cs="仿宋"/>
          <w:sz w:val="28"/>
          <w:szCs w:val="28"/>
          <w:lang w:eastAsia="zh-CN"/>
        </w:rPr>
        <w:t>甲方</w:t>
      </w:r>
      <w:r>
        <w:rPr>
          <w:rFonts w:hint="eastAsia" w:ascii="仿宋" w:hAnsi="仿宋" w:eastAsia="仿宋" w:cs="仿宋"/>
          <w:sz w:val="28"/>
          <w:szCs w:val="28"/>
        </w:rPr>
        <w:t>查明各系统不能运行的原因并解决问题。</w:t>
      </w:r>
    </w:p>
    <w:p w14:paraId="4900177F">
      <w:pPr>
        <w:pStyle w:val="28"/>
        <w:numPr>
          <w:ilvl w:val="0"/>
          <w:numId w:val="0"/>
        </w:numPr>
        <w:spacing w:line="360" w:lineRule="auto"/>
        <w:ind w:leftChars="0"/>
        <w:rPr>
          <w:rFonts w:hint="eastAsia" w:ascii="仿宋" w:hAnsi="仿宋" w:eastAsia="仿宋" w:cs="仿宋"/>
          <w:sz w:val="28"/>
          <w:szCs w:val="28"/>
          <w:lang w:eastAsia="zh-CN"/>
        </w:rPr>
      </w:pPr>
      <w:r>
        <w:rPr>
          <w:rFonts w:hint="eastAsia" w:ascii="仿宋" w:hAnsi="仿宋" w:eastAsia="仿宋" w:cs="仿宋"/>
          <w:sz w:val="28"/>
          <w:szCs w:val="28"/>
          <w:lang w:val="en-US" w:eastAsia="zh-CN"/>
        </w:rPr>
        <w:t>8.系统本身存在问题或基础功能需求，要求</w:t>
      </w:r>
      <w:r>
        <w:rPr>
          <w:rFonts w:hint="eastAsia" w:ascii="仿宋" w:hAnsi="仿宋" w:eastAsia="仿宋" w:cs="仿宋"/>
          <w:sz w:val="28"/>
          <w:szCs w:val="28"/>
          <w:lang w:eastAsia="zh-CN"/>
        </w:rPr>
        <w:t>不超过一周</w:t>
      </w:r>
      <w:r>
        <w:rPr>
          <w:rFonts w:hint="eastAsia" w:ascii="仿宋" w:hAnsi="仿宋" w:eastAsia="仿宋" w:cs="仿宋"/>
          <w:sz w:val="28"/>
          <w:szCs w:val="28"/>
          <w:lang w:val="en-US" w:eastAsia="zh-CN"/>
        </w:rPr>
        <w:t>彻底解决</w:t>
      </w:r>
      <w:r>
        <w:rPr>
          <w:rFonts w:hint="eastAsia" w:ascii="仿宋" w:hAnsi="仿宋" w:eastAsia="仿宋" w:cs="仿宋"/>
          <w:sz w:val="28"/>
          <w:szCs w:val="28"/>
          <w:lang w:eastAsia="zh-CN"/>
        </w:rPr>
        <w:t>。</w:t>
      </w:r>
    </w:p>
    <w:p w14:paraId="2EF2D3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CN"/>
        </w:rPr>
        <w:t>9.需求变更服务。</w:t>
      </w:r>
      <w:r>
        <w:rPr>
          <w:rFonts w:hint="eastAsia" w:ascii="仿宋" w:hAnsi="仿宋" w:eastAsia="仿宋" w:cs="仿宋"/>
          <w:kern w:val="0"/>
          <w:sz w:val="28"/>
          <w:szCs w:val="28"/>
          <w:lang w:val="en-US" w:eastAsia="zh-Hans"/>
        </w:rPr>
        <w:t>医院提交书面需求变更申请，供应商</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lang w:val="en-US" w:eastAsia="zh-Hans"/>
        </w:rPr>
        <w:t>个工作日内完成技术评估，并出具《需求变更评审意见书》（明确可行/不可行、原因、工期、范围）。评审通过的变更，</w:t>
      </w:r>
      <w:r>
        <w:rPr>
          <w:rFonts w:hint="eastAsia" w:ascii="仿宋" w:hAnsi="仿宋" w:eastAsia="仿宋" w:cs="仿宋"/>
          <w:kern w:val="0"/>
          <w:sz w:val="28"/>
          <w:szCs w:val="28"/>
          <w:lang w:val="en-US" w:eastAsia="zh-CN"/>
        </w:rPr>
        <w:t>供应商需</w:t>
      </w:r>
      <w:r>
        <w:rPr>
          <w:rFonts w:hint="eastAsia" w:ascii="仿宋" w:hAnsi="仿宋" w:eastAsia="仿宋" w:cs="仿宋"/>
          <w:kern w:val="0"/>
          <w:sz w:val="28"/>
          <w:szCs w:val="28"/>
          <w:lang w:val="en-US" w:eastAsia="zh-Hans"/>
        </w:rPr>
        <w:t>明确排期并</w:t>
      </w:r>
      <w:r>
        <w:rPr>
          <w:rFonts w:hint="eastAsia" w:ascii="仿宋" w:hAnsi="仿宋" w:eastAsia="仿宋" w:cs="仿宋"/>
          <w:kern w:val="0"/>
          <w:sz w:val="28"/>
          <w:szCs w:val="28"/>
          <w:lang w:val="en-US" w:eastAsia="zh-CN"/>
        </w:rPr>
        <w:t>由相关工程师</w:t>
      </w:r>
      <w:r>
        <w:rPr>
          <w:rFonts w:hint="eastAsia" w:ascii="仿宋" w:hAnsi="仿宋" w:eastAsia="仿宋" w:cs="仿宋"/>
          <w:kern w:val="0"/>
          <w:sz w:val="28"/>
          <w:szCs w:val="28"/>
          <w:lang w:val="en-US" w:eastAsia="zh-Hans"/>
        </w:rPr>
        <w:t>告知医院；禁止私自新增未评审功能、篡改原有系统配置。</w:t>
      </w:r>
    </w:p>
    <w:p w14:paraId="622A68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10.需提供因政策原因而需要调整现在分组器及支付政策。</w:t>
      </w:r>
    </w:p>
    <w:p w14:paraId="67D2426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（1）政策监测：实时跟踪国家、省、市医保DRG分组政策、支付标准、目录调整，政策发布后3个工作日内向医院推送政策解读文档。</w:t>
      </w:r>
    </w:p>
    <w:p w14:paraId="0E14C04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（2）分组器调整：收到官方政策文件后，3个工作日内完成分组器参数适配、规则调试、内部测试；测试完成后1个工作日内配合医院上线试运行。</w:t>
      </w:r>
    </w:p>
    <w:p w14:paraId="4C6CBCE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（3）异常处置：分组错误、结算异常等问题，按一级故障标准处置。</w:t>
      </w:r>
    </w:p>
    <w:p w14:paraId="4FD84D01">
      <w:pPr>
        <w:pStyle w:val="28"/>
        <w:numPr>
          <w:ilvl w:val="0"/>
          <w:numId w:val="0"/>
        </w:numPr>
        <w:ind w:leftChars="0"/>
        <w:jc w:val="both"/>
        <w:rPr>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11.</w:t>
      </w:r>
      <w:r>
        <w:rPr>
          <w:rFonts w:hint="eastAsia" w:ascii="仿宋" w:hAnsi="仿宋" w:eastAsia="仿宋" w:cs="仿宋"/>
          <w:sz w:val="28"/>
          <w:szCs w:val="28"/>
          <w:lang w:val="en-US" w:eastAsia="zh-CN"/>
        </w:rPr>
        <w:t>服务响应要求。7*24小时电话响应，支持远程、电话、现场服务，如遇问题按照“问题分类和响应标准”严格执行并处理。问题分类和响应标准如下：</w:t>
      </w:r>
    </w:p>
    <w:p w14:paraId="09B5142F">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①A类问题</w:t>
      </w:r>
    </w:p>
    <w:p w14:paraId="220A390A">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严重影响整个系统运行，导致系统不能正常运转，业务处理错误严重且工作流程不能正常进行等。在任何时期当软件系统出现A类问题时，中标人工程师在2小时内到达现场，与采购人系统维护人员、系统使用人员一起确定问题原因，并对实际问题给出详细解决方案；4小时内处理完问题，保证系统正常运行；</w:t>
      </w:r>
    </w:p>
    <w:p w14:paraId="24A15618">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②B类问题</w:t>
      </w:r>
    </w:p>
    <w:p w14:paraId="2C66C793">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影响系统部分功能，但不会导致整个系统瘫痪，例如个别模块运行异常、性能下降或非关键业务处理错误，工作流程可能受影响但可以继续运行。当软件系统出现B类问题时，中标人工程师在4小时内到达现场，与采购人系统维护人员、系统使用人员一起确认问题原因，并对实际问题给出详细解决方案，12小时内处理完问题，保证系统正常运行；</w:t>
      </w:r>
    </w:p>
    <w:p w14:paraId="4FC19162">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③C类问题</w:t>
      </w:r>
    </w:p>
    <w:p w14:paraId="249F4DA5">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对系统运行影响较小的问题，但为了系统日后的正常使用必须加以修改或完善；</w:t>
      </w:r>
    </w:p>
    <w:p w14:paraId="021F7E78">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④D类问题</w:t>
      </w:r>
    </w:p>
    <w:p w14:paraId="36D90D97">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不属于系统错误或故障，而是用户对系统功能、操作方式的咨询，或提出的不影响当前业务运行的功能优化建议；</w:t>
      </w:r>
    </w:p>
    <w:p w14:paraId="64EF4187">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⑤在服务保证期内当软件系统出现C类问题或D类问题时，中标人维护人员在接到采购人通知后的8小时内确认问题原因，在1个工作日内与医院协商出具体解决办法和时间安排，并着手按照计划进行修改，保证在2个工作日内完成问题解决。</w:t>
      </w:r>
    </w:p>
    <w:p w14:paraId="2F54C3FD">
      <w:pPr>
        <w:pStyle w:val="28"/>
        <w:spacing w:line="360" w:lineRule="auto"/>
        <w:ind w:left="0"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服务期内，配合医院的个性化需求开发及程序、流程设计优化，软件开发部分现场需求调研时需派1名运维工程师来院配合调研讨论需求的必要性及可实施性，以保证需求的合理及降低开发的反复性，且需与医院协定好时间安排，且需严格按照时间节点按期完成软件修改。</w:t>
      </w:r>
    </w:p>
    <w:p w14:paraId="7ACB1736">
      <w:pPr>
        <w:pStyle w:val="28"/>
        <w:spacing w:line="360" w:lineRule="auto"/>
        <w:ind w:left="0" w:leftChars="0"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提供驻场值守服务，提供临时增派人手协助完成临时任务，保障正常运行；</w:t>
      </w:r>
    </w:p>
    <w:p w14:paraId="7164EC1A">
      <w:pPr>
        <w:pStyle w:val="28"/>
        <w:spacing w:line="360" w:lineRule="auto"/>
        <w:ind w:left="0" w:leftChars="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所有维保服务均填写维保服务记录表，记录内容包括：服务发起、方法、过程和处理结果</w:t>
      </w:r>
      <w:r>
        <w:rPr>
          <w:rFonts w:hint="eastAsia" w:ascii="仿宋" w:hAnsi="仿宋" w:eastAsia="仿宋" w:cs="仿宋"/>
          <w:sz w:val="28"/>
          <w:szCs w:val="28"/>
          <w:lang w:eastAsia="zh-CN"/>
        </w:rPr>
        <w:t>。</w:t>
      </w:r>
    </w:p>
    <w:p w14:paraId="75C2B233">
      <w:pPr>
        <w:pStyle w:val="28"/>
        <w:spacing w:line="360" w:lineRule="auto"/>
        <w:ind w:left="0" w:leftChars="0"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w:t>
      </w:r>
      <w:r>
        <w:rPr>
          <w:rFonts w:hint="eastAsia" w:ascii="仿宋" w:hAnsi="仿宋" w:eastAsia="仿宋" w:cs="仿宋"/>
          <w:sz w:val="28"/>
          <w:szCs w:val="28"/>
        </w:rPr>
        <w:t>建立回退机制，确保风险可控的情况下进行故障修复。若因故实施失败，亦可通过回退机制恢复服务。通过规范化的处理故障的过程管理，将保证甲方各类数据的安全。</w:t>
      </w:r>
    </w:p>
    <w:p w14:paraId="68613E36">
      <w:pPr>
        <w:pStyle w:val="5"/>
        <w:numPr>
          <w:ilvl w:val="0"/>
          <w:numId w:val="0"/>
        </w:numPr>
        <w:ind w:firstLine="560" w:firstLineChars="200"/>
        <w:rPr>
          <w:rFonts w:hint="default" w:ascii="仿宋" w:hAnsi="仿宋" w:eastAsia="仿宋" w:cs="仿宋"/>
          <w:kern w:val="0"/>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w:t>
      </w:r>
      <w:r>
        <w:rPr>
          <w:rFonts w:hint="eastAsia" w:ascii="仿宋" w:hAnsi="仿宋" w:eastAsia="仿宋" w:cs="仿宋"/>
          <w:sz w:val="28"/>
          <w:szCs w:val="28"/>
        </w:rPr>
        <w:t>服务结束后，需对服务情况进行总结和评估。</w:t>
      </w:r>
    </w:p>
    <w:p w14:paraId="35998C14">
      <w:pPr>
        <w:spacing w:line="360" w:lineRule="auto"/>
        <w:jc w:val="left"/>
        <w:rPr>
          <w:rFonts w:hint="eastAsia" w:ascii="仿宋" w:hAnsi="仿宋" w:eastAsia="仿宋" w:cs="仿宋"/>
          <w:b/>
          <w:color w:val="auto"/>
          <w:kern w:val="2"/>
          <w:sz w:val="32"/>
          <w:szCs w:val="32"/>
          <w:lang w:val="en-US" w:eastAsia="zh-CN" w:bidi="ar-SA"/>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32"/>
          <w:szCs w:val="32"/>
          <w:highlight w:val="none"/>
          <w:lang w:val="en-US" w:eastAsia="zh-CN"/>
        </w:rPr>
        <w:t>二</w:t>
      </w:r>
      <w:r>
        <w:rPr>
          <w:rFonts w:hint="eastAsia" w:ascii="仿宋" w:hAnsi="仿宋" w:eastAsia="仿宋" w:cs="仿宋"/>
          <w:b/>
          <w:color w:val="auto"/>
          <w:kern w:val="2"/>
          <w:sz w:val="32"/>
          <w:szCs w:val="32"/>
          <w:lang w:val="en-US" w:eastAsia="zh-CN" w:bidi="ar-SA"/>
        </w:rPr>
        <w:t>、商务及其他要求</w:t>
      </w:r>
    </w:p>
    <w:p w14:paraId="195582DC">
      <w:pPr>
        <w:pStyle w:val="5"/>
        <w:numPr>
          <w:ilvl w:val="0"/>
          <w:numId w:val="1"/>
        </w:numPr>
        <w:ind w:firstLine="0" w:firstLineChars="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服务期限：一年。</w:t>
      </w:r>
    </w:p>
    <w:p w14:paraId="0155803C">
      <w:pPr>
        <w:pStyle w:val="5"/>
        <w:numPr>
          <w:ilvl w:val="0"/>
          <w:numId w:val="1"/>
        </w:numPr>
        <w:ind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服务地点：成都市新津区中医医院徐家渡院区、模范街院区。</w:t>
      </w:r>
    </w:p>
    <w:p w14:paraId="24C86E53">
      <w:pPr>
        <w:pStyle w:val="5"/>
        <w:numPr>
          <w:ilvl w:val="0"/>
          <w:numId w:val="1"/>
        </w:numPr>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人员需</w:t>
      </w:r>
      <w:r>
        <w:rPr>
          <w:rFonts w:hint="eastAsia" w:ascii="仿宋" w:hAnsi="仿宋" w:eastAsia="仿宋" w:cs="仿宋"/>
          <w:sz w:val="28"/>
          <w:szCs w:val="28"/>
        </w:rPr>
        <w:t>指派一名</w:t>
      </w:r>
      <w:r>
        <w:rPr>
          <w:rFonts w:hint="eastAsia" w:ascii="仿宋" w:hAnsi="仿宋" w:eastAsia="仿宋" w:cs="仿宋"/>
          <w:sz w:val="28"/>
          <w:szCs w:val="28"/>
          <w:lang w:val="en-US" w:eastAsia="zh-CN"/>
        </w:rPr>
        <w:t>服务</w:t>
      </w:r>
      <w:r>
        <w:rPr>
          <w:rFonts w:hint="eastAsia" w:ascii="仿宋" w:hAnsi="仿宋" w:eastAsia="仿宋" w:cs="仿宋"/>
          <w:sz w:val="28"/>
          <w:szCs w:val="28"/>
        </w:rPr>
        <w:t>经理，负责运维保障总体协调、技术支持、编制起草各类文件；</w:t>
      </w:r>
    </w:p>
    <w:p w14:paraId="4A92DBB6">
      <w:pPr>
        <w:pStyle w:val="5"/>
        <w:numPr>
          <w:ilvl w:val="0"/>
          <w:numId w:val="0"/>
        </w:numPr>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4.</w:t>
      </w:r>
      <w:r>
        <w:rPr>
          <w:rFonts w:hint="eastAsia" w:ascii="仿宋" w:hAnsi="仿宋" w:eastAsia="仿宋" w:cs="仿宋"/>
          <w:b w:val="0"/>
          <w:bCs/>
          <w:sz w:val="28"/>
          <w:szCs w:val="28"/>
        </w:rPr>
        <w:t>运维服务文档要求</w:t>
      </w:r>
    </w:p>
    <w:p w14:paraId="5BE7B806">
      <w:pPr>
        <w:pStyle w:val="28"/>
        <w:numPr>
          <w:ilvl w:val="0"/>
          <w:numId w:val="2"/>
        </w:numPr>
        <w:spacing w:line="360" w:lineRule="auto"/>
        <w:ind w:left="845" w:leftChars="0" w:hanging="425" w:firstLineChars="0"/>
        <w:rPr>
          <w:rFonts w:hint="eastAsia" w:ascii="仿宋" w:hAnsi="仿宋" w:eastAsia="仿宋" w:cs="仿宋"/>
          <w:sz w:val="28"/>
          <w:szCs w:val="28"/>
        </w:rPr>
      </w:pPr>
      <w:r>
        <w:rPr>
          <w:rFonts w:hint="eastAsia" w:ascii="仿宋" w:hAnsi="仿宋" w:eastAsia="仿宋" w:cs="仿宋"/>
          <w:sz w:val="28"/>
          <w:szCs w:val="28"/>
        </w:rPr>
        <w:t>系统巡检报告；</w:t>
      </w:r>
    </w:p>
    <w:p w14:paraId="215FC5F6">
      <w:pPr>
        <w:pStyle w:val="28"/>
        <w:numPr>
          <w:ilvl w:val="0"/>
          <w:numId w:val="2"/>
        </w:numPr>
        <w:spacing w:line="360" w:lineRule="auto"/>
        <w:ind w:left="845" w:leftChars="0" w:hanging="425" w:firstLineChars="0"/>
        <w:rPr>
          <w:rFonts w:hint="eastAsia" w:ascii="仿宋" w:hAnsi="仿宋" w:eastAsia="仿宋" w:cs="仿宋"/>
          <w:sz w:val="28"/>
          <w:szCs w:val="28"/>
        </w:rPr>
      </w:pPr>
      <w:r>
        <w:rPr>
          <w:rFonts w:hint="eastAsia" w:ascii="仿宋" w:hAnsi="仿宋" w:eastAsia="仿宋" w:cs="仿宋"/>
          <w:sz w:val="28"/>
          <w:szCs w:val="28"/>
        </w:rPr>
        <w:t>软件故障发生后的时响应与修复记录；</w:t>
      </w:r>
    </w:p>
    <w:p w14:paraId="3304220D">
      <w:pPr>
        <w:pStyle w:val="28"/>
        <w:numPr>
          <w:ilvl w:val="0"/>
          <w:numId w:val="2"/>
        </w:numPr>
        <w:spacing w:line="360" w:lineRule="auto"/>
        <w:ind w:left="845" w:leftChars="0" w:hanging="425" w:firstLineChars="0"/>
        <w:rPr>
          <w:rFonts w:hint="eastAsia" w:ascii="仿宋" w:hAnsi="仿宋" w:eastAsia="仿宋" w:cs="仿宋"/>
          <w:sz w:val="28"/>
          <w:szCs w:val="28"/>
        </w:rPr>
      </w:pPr>
      <w:r>
        <w:rPr>
          <w:rFonts w:hint="eastAsia" w:ascii="仿宋" w:hAnsi="仿宋" w:eastAsia="仿宋" w:cs="仿宋"/>
          <w:sz w:val="28"/>
          <w:szCs w:val="28"/>
        </w:rPr>
        <w:t>新增</w:t>
      </w:r>
      <w:r>
        <w:rPr>
          <w:rFonts w:hint="eastAsia" w:ascii="仿宋" w:hAnsi="仿宋" w:eastAsia="仿宋" w:cs="仿宋"/>
          <w:sz w:val="28"/>
          <w:szCs w:val="28"/>
          <w:lang w:val="en-US" w:eastAsia="zh-CN"/>
        </w:rPr>
        <w:t>需求或日常问题处理报告</w:t>
      </w:r>
      <w:r>
        <w:rPr>
          <w:rFonts w:hint="eastAsia" w:ascii="仿宋" w:hAnsi="仿宋" w:eastAsia="仿宋" w:cs="仿宋"/>
          <w:sz w:val="28"/>
          <w:szCs w:val="28"/>
        </w:rPr>
        <w:t>；</w:t>
      </w:r>
    </w:p>
    <w:p w14:paraId="15F5210D">
      <w:pPr>
        <w:pStyle w:val="28"/>
        <w:numPr>
          <w:ilvl w:val="0"/>
          <w:numId w:val="2"/>
        </w:numPr>
        <w:spacing w:line="360" w:lineRule="auto"/>
        <w:ind w:left="845" w:leftChars="0" w:hanging="425" w:firstLineChars="0"/>
        <w:rPr>
          <w:rFonts w:hint="eastAsia" w:ascii="仿宋" w:hAnsi="仿宋" w:eastAsia="仿宋" w:cs="仿宋"/>
          <w:sz w:val="28"/>
          <w:szCs w:val="28"/>
        </w:rPr>
      </w:pPr>
      <w:r>
        <w:rPr>
          <w:rFonts w:hint="eastAsia" w:ascii="仿宋" w:hAnsi="仿宋" w:eastAsia="仿宋" w:cs="仿宋"/>
          <w:sz w:val="28"/>
          <w:szCs w:val="28"/>
        </w:rPr>
        <w:t>对相关人员的技术培训服务记录；</w:t>
      </w:r>
    </w:p>
    <w:p w14:paraId="0C53DCD0">
      <w:pPr>
        <w:pStyle w:val="28"/>
        <w:numPr>
          <w:ilvl w:val="0"/>
          <w:numId w:val="2"/>
        </w:numPr>
        <w:spacing w:line="360" w:lineRule="auto"/>
        <w:ind w:left="845" w:leftChars="0" w:hanging="425" w:firstLineChars="0"/>
        <w:rPr>
          <w:rFonts w:hint="eastAsia" w:ascii="仿宋" w:hAnsi="仿宋" w:eastAsia="仿宋" w:cs="仿宋"/>
          <w:sz w:val="28"/>
          <w:szCs w:val="28"/>
        </w:rPr>
      </w:pPr>
      <w:r>
        <w:rPr>
          <w:rFonts w:hint="eastAsia" w:ascii="仿宋" w:hAnsi="仿宋" w:eastAsia="仿宋" w:cs="仿宋"/>
          <w:sz w:val="28"/>
          <w:szCs w:val="28"/>
        </w:rPr>
        <w:t>其未列入的运维记录颜料。</w:t>
      </w:r>
    </w:p>
    <w:p w14:paraId="27231781">
      <w:pPr>
        <w:pStyle w:val="28"/>
        <w:numPr>
          <w:ilvl w:val="0"/>
          <w:numId w:val="2"/>
        </w:numPr>
        <w:spacing w:line="360" w:lineRule="auto"/>
        <w:ind w:left="845" w:leftChars="0" w:hanging="425" w:firstLineChars="0"/>
        <w:rPr>
          <w:rFonts w:hint="eastAsia" w:ascii="仿宋" w:hAnsi="仿宋" w:eastAsia="仿宋" w:cs="仿宋"/>
          <w:sz w:val="28"/>
          <w:szCs w:val="28"/>
          <w:lang w:val="en-US" w:eastAsia="zh-CN"/>
        </w:rPr>
      </w:pPr>
      <w:r>
        <w:rPr>
          <w:rFonts w:hint="eastAsia" w:ascii="仿宋" w:hAnsi="仿宋" w:eastAsia="仿宋" w:cs="仿宋"/>
          <w:sz w:val="28"/>
          <w:szCs w:val="28"/>
        </w:rPr>
        <w:t>供应商有完成本项目的能力，有类似相关业绩作为经验；项目人员有相关证书。</w:t>
      </w:r>
    </w:p>
    <w:p w14:paraId="304EDA3E">
      <w:pPr>
        <w:pStyle w:val="28"/>
        <w:numPr>
          <w:ilvl w:val="0"/>
          <w:numId w:val="0"/>
        </w:numPr>
        <w:spacing w:line="240" w:lineRule="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针对本项目提供项目实施方案，内容包括：①项目背景；②服务目标；③服务范围；④服务方式；⑤服务流程；⑥运维计划；⑦组织落实力度；⑧服务与技术难点分析；⑨定期巡检制；⑩系统运行情况报告制度等。</w:t>
      </w:r>
    </w:p>
    <w:p w14:paraId="0B96E742">
      <w:pPr>
        <w:pStyle w:val="28"/>
        <w:numPr>
          <w:ilvl w:val="0"/>
          <w:numId w:val="0"/>
        </w:numPr>
        <w:spacing w:line="240" w:lineRule="auto"/>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安全保密</w:t>
      </w:r>
    </w:p>
    <w:p w14:paraId="1E03202B">
      <w:pPr>
        <w:pStyle w:val="28"/>
        <w:numPr>
          <w:ilvl w:val="0"/>
          <w:numId w:val="0"/>
        </w:numPr>
        <w:spacing w:line="240" w:lineRule="auto"/>
        <w:rPr>
          <w:rFonts w:hint="eastAsia" w:ascii="仿宋" w:hAnsi="仿宋" w:eastAsia="仿宋" w:cs="仿宋"/>
          <w:sz w:val="28"/>
          <w:szCs w:val="28"/>
        </w:rPr>
      </w:pPr>
      <w:r>
        <w:rPr>
          <w:rFonts w:hint="eastAsia" w:ascii="仿宋" w:hAnsi="仿宋" w:eastAsia="仿宋" w:cs="仿宋"/>
          <w:sz w:val="28"/>
          <w:szCs w:val="28"/>
          <w:lang w:val="en-US" w:eastAsia="zh-CN"/>
        </w:rPr>
        <w:t>(</w:t>
      </w:r>
      <w:r>
        <w:rPr>
          <w:rFonts w:hint="eastAsia" w:ascii="仿宋" w:hAnsi="仿宋" w:eastAsia="仿宋" w:cs="仿宋"/>
          <w:sz w:val="28"/>
          <w:szCs w:val="28"/>
        </w:rPr>
        <w:t>1）中标供应商须与医院签订保密承诺书。</w:t>
      </w:r>
    </w:p>
    <w:p w14:paraId="27A0D417">
      <w:pPr>
        <w:pStyle w:val="28"/>
        <w:numPr>
          <w:ilvl w:val="0"/>
          <w:numId w:val="0"/>
        </w:numPr>
        <w:spacing w:line="240" w:lineRule="auto"/>
        <w:rPr>
          <w:rFonts w:hint="eastAsia" w:ascii="仿宋" w:hAnsi="仿宋" w:eastAsia="仿宋" w:cs="仿宋"/>
          <w:sz w:val="28"/>
          <w:szCs w:val="28"/>
        </w:rPr>
      </w:pPr>
      <w:r>
        <w:rPr>
          <w:rFonts w:hint="eastAsia" w:ascii="仿宋" w:hAnsi="仿宋" w:eastAsia="仿宋" w:cs="仿宋"/>
          <w:sz w:val="28"/>
          <w:szCs w:val="28"/>
          <w:lang w:val="en-US" w:eastAsia="zh-CN"/>
        </w:rPr>
        <w:t>(</w:t>
      </w:r>
      <w:r>
        <w:rPr>
          <w:rFonts w:hint="eastAsia" w:ascii="仿宋" w:hAnsi="仿宋" w:eastAsia="仿宋" w:cs="仿宋"/>
          <w:sz w:val="28"/>
          <w:szCs w:val="28"/>
        </w:rPr>
        <w:t>2）中标供应商遵守保密相关法律法规，不得向中标供应商及所投软件系统厂商内部无关人员及任何第三方泄露双方在执行合同过程中了解到的采购人任何信息。未经采购人同意，中标供应商及所投产品厂商保证不在系统中植入无关信息（包括广告、中标供应商及所投产品厂商或第三方的推广信息等）；</w:t>
      </w:r>
    </w:p>
    <w:p w14:paraId="60259A56">
      <w:pPr>
        <w:pStyle w:val="28"/>
        <w:numPr>
          <w:ilvl w:val="0"/>
          <w:numId w:val="0"/>
        </w:numPr>
        <w:spacing w:line="240" w:lineRule="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w:t>
      </w:r>
      <w:r>
        <w:rPr>
          <w:rFonts w:hint="eastAsia" w:ascii="仿宋" w:hAnsi="仿宋" w:eastAsia="仿宋" w:cs="仿宋"/>
          <w:sz w:val="28"/>
          <w:szCs w:val="28"/>
        </w:rPr>
        <w:t>3）禁止以直接、间接、口头或书面等形式提供或涉及的医院工作事项内容，均属于保密范畴。</w:t>
      </w:r>
    </w:p>
    <w:p w14:paraId="0FDB7B92">
      <w:pPr>
        <w:pStyle w:val="8"/>
        <w:numPr>
          <w:ilvl w:val="0"/>
          <w:numId w:val="0"/>
        </w:numPr>
        <w:ind w:leftChars="0"/>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附件：现有系统功能清单</w:t>
      </w:r>
    </w:p>
    <w:tbl>
      <w:tblPr>
        <w:tblStyle w:val="20"/>
        <w:tblW w:w="9083"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311"/>
        <w:gridCol w:w="1100"/>
        <w:gridCol w:w="5933"/>
      </w:tblGrid>
      <w:tr w14:paraId="147C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39" w:type="dxa"/>
            <w:vAlign w:val="center"/>
          </w:tcPr>
          <w:p w14:paraId="776EC0CB">
            <w:pPr>
              <w:widowControl/>
              <w:spacing w:line="240" w:lineRule="auto"/>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bidi="ar"/>
              </w:rPr>
              <w:t>序号</w:t>
            </w:r>
          </w:p>
        </w:tc>
        <w:tc>
          <w:tcPr>
            <w:tcW w:w="1311" w:type="dxa"/>
            <w:vAlign w:val="center"/>
          </w:tcPr>
          <w:p w14:paraId="46067CD8">
            <w:pPr>
              <w:widowControl/>
              <w:spacing w:line="240" w:lineRule="auto"/>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Hans" w:bidi="ar"/>
              </w:rPr>
              <w:t>系统</w:t>
            </w:r>
            <w:r>
              <w:rPr>
                <w:rFonts w:hint="eastAsia" w:ascii="宋体" w:hAnsi="宋体" w:eastAsia="宋体" w:cs="宋体"/>
                <w:b/>
                <w:bCs/>
                <w:color w:val="000000"/>
                <w:sz w:val="24"/>
                <w:szCs w:val="24"/>
                <w:lang w:bidi="ar"/>
              </w:rPr>
              <w:t>模块</w:t>
            </w:r>
          </w:p>
        </w:tc>
        <w:tc>
          <w:tcPr>
            <w:tcW w:w="1100" w:type="dxa"/>
            <w:vAlign w:val="center"/>
          </w:tcPr>
          <w:p w14:paraId="3417E30A">
            <w:pPr>
              <w:widowControl/>
              <w:spacing w:line="240" w:lineRule="auto"/>
              <w:jc w:val="center"/>
              <w:textAlignment w:val="center"/>
              <w:rPr>
                <w:rFonts w:hint="eastAsia" w:ascii="宋体" w:hAnsi="宋体" w:eastAsia="宋体" w:cs="宋体"/>
                <w:b/>
                <w:bCs/>
                <w:color w:val="000000"/>
                <w:sz w:val="24"/>
                <w:szCs w:val="24"/>
                <w:lang w:val="en-US" w:eastAsia="zh-Hans"/>
              </w:rPr>
            </w:pPr>
            <w:r>
              <w:rPr>
                <w:rFonts w:hint="eastAsia" w:ascii="宋体" w:hAnsi="宋体" w:eastAsia="宋体" w:cs="宋体"/>
                <w:b/>
                <w:bCs/>
                <w:color w:val="000000"/>
                <w:sz w:val="24"/>
                <w:szCs w:val="24"/>
                <w:lang w:bidi="ar"/>
              </w:rPr>
              <w:t>功能</w:t>
            </w:r>
            <w:r>
              <w:rPr>
                <w:rFonts w:hint="eastAsia" w:ascii="宋体" w:hAnsi="宋体" w:eastAsia="宋体" w:cs="宋体"/>
                <w:b/>
                <w:bCs/>
                <w:color w:val="000000"/>
                <w:sz w:val="24"/>
                <w:szCs w:val="24"/>
                <w:lang w:val="en-US" w:eastAsia="zh-Hans" w:bidi="ar"/>
              </w:rPr>
              <w:t>模块</w:t>
            </w:r>
          </w:p>
        </w:tc>
        <w:tc>
          <w:tcPr>
            <w:tcW w:w="5933" w:type="dxa"/>
            <w:vAlign w:val="center"/>
          </w:tcPr>
          <w:p w14:paraId="531642CA">
            <w:pPr>
              <w:widowControl/>
              <w:spacing w:line="240" w:lineRule="auto"/>
              <w:jc w:val="center"/>
              <w:textAlignment w:val="center"/>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模块功能描述</w:t>
            </w:r>
          </w:p>
        </w:tc>
      </w:tr>
      <w:tr w14:paraId="1E2C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739" w:type="dxa"/>
            <w:vAlign w:val="center"/>
          </w:tcPr>
          <w:p w14:paraId="7EC32816">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1</w:t>
            </w:r>
          </w:p>
        </w:tc>
        <w:tc>
          <w:tcPr>
            <w:tcW w:w="1311" w:type="dxa"/>
            <w:vMerge w:val="restart"/>
            <w:vAlign w:val="center"/>
          </w:tcPr>
          <w:p w14:paraId="669AB5F3">
            <w:pPr>
              <w:spacing w:line="360" w:lineRule="auto"/>
              <w:jc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DRG</w:t>
            </w:r>
            <w:r>
              <w:rPr>
                <w:rFonts w:hint="eastAsia" w:ascii="仿宋" w:hAnsi="仿宋" w:eastAsia="仿宋" w:cs="仿宋"/>
                <w:kern w:val="0"/>
                <w:sz w:val="28"/>
                <w:szCs w:val="28"/>
                <w:lang w:val="en-US" w:eastAsia="zh-CN"/>
              </w:rPr>
              <w:t>S</w:t>
            </w:r>
            <w:r>
              <w:rPr>
                <w:rFonts w:hint="eastAsia" w:ascii="仿宋" w:hAnsi="仿宋" w:eastAsia="仿宋" w:cs="仿宋"/>
                <w:kern w:val="0"/>
                <w:sz w:val="28"/>
                <w:szCs w:val="28"/>
                <w:lang w:val="en-US" w:eastAsia="zh-Hans"/>
              </w:rPr>
              <w:t>精细化管理</w:t>
            </w:r>
          </w:p>
        </w:tc>
        <w:tc>
          <w:tcPr>
            <w:tcW w:w="1100" w:type="dxa"/>
            <w:vAlign w:val="center"/>
          </w:tcPr>
          <w:p w14:paraId="57C2F845">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智能小助手</w:t>
            </w:r>
          </w:p>
        </w:tc>
        <w:tc>
          <w:tcPr>
            <w:tcW w:w="5933" w:type="dxa"/>
            <w:vAlign w:val="center"/>
          </w:tcPr>
          <w:p w14:paraId="55012255">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1、分组预测</w:t>
            </w:r>
            <w:r>
              <w:rPr>
                <w:rFonts w:hint="eastAsia" w:ascii="仿宋" w:hAnsi="仿宋" w:eastAsia="仿宋" w:cs="仿宋"/>
                <w:kern w:val="0"/>
                <w:sz w:val="28"/>
                <w:szCs w:val="28"/>
                <w:lang w:val="en-US" w:eastAsia="zh-Hans"/>
              </w:rPr>
              <w:tab/>
            </w:r>
          </w:p>
          <w:p w14:paraId="6351023E">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支持提示预分组结果、医保付费预测、倍率区间等信息，并能提供当前病案与标杆值之间的对比情况。</w:t>
            </w:r>
          </w:p>
          <w:p w14:paraId="67147824">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2、编码质控</w:t>
            </w:r>
            <w:r>
              <w:rPr>
                <w:rFonts w:hint="eastAsia" w:ascii="仿宋" w:hAnsi="仿宋" w:eastAsia="仿宋" w:cs="仿宋"/>
                <w:kern w:val="0"/>
                <w:sz w:val="28"/>
                <w:szCs w:val="28"/>
                <w:lang w:val="en-US" w:eastAsia="zh-Hans"/>
              </w:rPr>
              <w:tab/>
            </w:r>
          </w:p>
          <w:p w14:paraId="08FA6F8F">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对病例的诊断编码、手术及操作编码进行编码质控，并能对主诊断选择错误、重复编码、合并编码等质控内容，提示错误原因及修改建议。</w:t>
            </w:r>
          </w:p>
          <w:p w14:paraId="1BF50DD8">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3、分组推荐</w:t>
            </w:r>
            <w:r>
              <w:rPr>
                <w:rFonts w:hint="eastAsia" w:ascii="仿宋" w:hAnsi="仿宋" w:eastAsia="仿宋" w:cs="仿宋"/>
                <w:kern w:val="0"/>
                <w:sz w:val="28"/>
                <w:szCs w:val="28"/>
                <w:lang w:val="en-US" w:eastAsia="zh-Hans"/>
              </w:rPr>
              <w:tab/>
            </w:r>
          </w:p>
          <w:p w14:paraId="007D057F">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根据医师填写的病例诊断及手术信息智能推荐分组，并提示不同的诊断和手术方案下病例可能的分组结果及费用信息。</w:t>
            </w:r>
          </w:p>
          <w:p w14:paraId="57F804FB">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4、非编码质控</w:t>
            </w:r>
            <w:r>
              <w:rPr>
                <w:rFonts w:hint="eastAsia" w:ascii="仿宋" w:hAnsi="仿宋" w:eastAsia="仿宋" w:cs="仿宋"/>
                <w:kern w:val="0"/>
                <w:sz w:val="28"/>
                <w:szCs w:val="28"/>
                <w:lang w:val="en-US" w:eastAsia="zh-Hans"/>
              </w:rPr>
              <w:tab/>
            </w:r>
          </w:p>
          <w:p w14:paraId="686CCB4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对每份病案提供质控分析结果，并提示具体的错误原因</w:t>
            </w:r>
          </w:p>
          <w:p w14:paraId="627E75B7">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5、病案评分</w:t>
            </w:r>
            <w:r>
              <w:rPr>
                <w:rFonts w:hint="eastAsia" w:ascii="仿宋" w:hAnsi="仿宋" w:eastAsia="仿宋" w:cs="仿宋"/>
                <w:kern w:val="0"/>
                <w:sz w:val="28"/>
                <w:szCs w:val="28"/>
                <w:lang w:val="en-US" w:eastAsia="zh-Hans"/>
              </w:rPr>
              <w:tab/>
            </w:r>
          </w:p>
          <w:p w14:paraId="34162EB5">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展示病案的扣分情况，并提供具体的扣分原因</w:t>
            </w:r>
          </w:p>
        </w:tc>
      </w:tr>
      <w:tr w14:paraId="2C37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39" w:type="dxa"/>
            <w:vAlign w:val="center"/>
          </w:tcPr>
          <w:p w14:paraId="4B7986CD">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2</w:t>
            </w:r>
          </w:p>
        </w:tc>
        <w:tc>
          <w:tcPr>
            <w:tcW w:w="1311" w:type="dxa"/>
            <w:vMerge w:val="continue"/>
            <w:vAlign w:val="center"/>
          </w:tcPr>
          <w:p w14:paraId="77AF5A2F">
            <w:pPr>
              <w:spacing w:line="360" w:lineRule="auto"/>
              <w:jc w:val="center"/>
              <w:rPr>
                <w:rFonts w:hint="eastAsia" w:ascii="仿宋" w:hAnsi="仿宋" w:eastAsia="仿宋" w:cs="仿宋"/>
                <w:kern w:val="0"/>
                <w:sz w:val="28"/>
                <w:szCs w:val="28"/>
                <w:lang w:val="en-US" w:eastAsia="zh-Hans"/>
              </w:rPr>
            </w:pPr>
          </w:p>
        </w:tc>
        <w:tc>
          <w:tcPr>
            <w:tcW w:w="1100" w:type="dxa"/>
            <w:vAlign w:val="center"/>
          </w:tcPr>
          <w:p w14:paraId="6BBB2715">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医院病案清单质控</w:t>
            </w:r>
          </w:p>
        </w:tc>
        <w:tc>
          <w:tcPr>
            <w:tcW w:w="5933" w:type="dxa"/>
            <w:vAlign w:val="center"/>
          </w:tcPr>
          <w:p w14:paraId="4317134F">
            <w:pPr>
              <w:widowControl/>
              <w:numPr>
                <w:ilvl w:val="0"/>
                <w:numId w:val="3"/>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病案首页管理</w:t>
            </w:r>
            <w:r>
              <w:rPr>
                <w:rFonts w:hint="eastAsia" w:ascii="仿宋" w:hAnsi="仿宋" w:eastAsia="仿宋" w:cs="仿宋"/>
                <w:kern w:val="0"/>
                <w:sz w:val="28"/>
                <w:szCs w:val="28"/>
                <w:lang w:val="en-US" w:eastAsia="zh-Hans"/>
              </w:rPr>
              <w:tab/>
            </w:r>
          </w:p>
          <w:p w14:paraId="553541E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病案质控总览：展示医院整体病案质控总览情况，并提供质控指标趋势对比、异常校验类型TOP10、医保分组质控情况展示等功能。</w:t>
            </w:r>
          </w:p>
          <w:p w14:paraId="0D37FC3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病案首页质控：对病案填写的完整度、逻辑性进行分析，分版块统计填写完整的病案数量及占比，提供每份病案完整度填写的详细分析结果。</w:t>
            </w:r>
          </w:p>
          <w:p w14:paraId="1A75CB7B">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病案首页评分：对病案质量进行评分，并能查看病案得分详情。</w:t>
            </w:r>
          </w:p>
          <w:p w14:paraId="5A316D45">
            <w:pPr>
              <w:widowControl/>
              <w:numPr>
                <w:ilvl w:val="0"/>
                <w:numId w:val="3"/>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结算清单管理</w:t>
            </w:r>
            <w:r>
              <w:rPr>
                <w:rFonts w:hint="eastAsia" w:ascii="仿宋" w:hAnsi="仿宋" w:eastAsia="仿宋" w:cs="仿宋"/>
                <w:kern w:val="0"/>
                <w:sz w:val="28"/>
                <w:szCs w:val="28"/>
                <w:lang w:val="en-US" w:eastAsia="zh-Hans"/>
              </w:rPr>
              <w:tab/>
            </w:r>
          </w:p>
          <w:p w14:paraId="6696D6CF">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清单质控总览：从总体情况、完整性、逻辑性、合理性、编码问题与诊断手术漏填错填等多个维度展示结算清单的质控情况，并对质控指标进行趋势对比，统计分析异常校验类型TOP10，辅助医院工作人员分析结算清单问题。</w:t>
            </w:r>
          </w:p>
          <w:p w14:paraId="3D10E667">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结算清单质控：构建填报规范、疾病编码、信息业务编码等质控模型，结合分组逻辑与资源消耗情况，为临床医生提供辅助诊疗、规范分组、付费预测、编码推荐、清单质控等全过程信息支撑。</w:t>
            </w:r>
          </w:p>
          <w:p w14:paraId="3275AA6D">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结算清单评分：对结算清单进行评分，并能查看病案得分详情。</w:t>
            </w:r>
          </w:p>
          <w:p w14:paraId="49181220">
            <w:pPr>
              <w:widowControl/>
              <w:numPr>
                <w:ilvl w:val="0"/>
                <w:numId w:val="3"/>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医保分组质控</w:t>
            </w:r>
            <w:r>
              <w:rPr>
                <w:rFonts w:hint="eastAsia" w:ascii="仿宋" w:hAnsi="仿宋" w:eastAsia="仿宋" w:cs="仿宋"/>
                <w:kern w:val="0"/>
                <w:sz w:val="28"/>
                <w:szCs w:val="28"/>
                <w:lang w:val="en-US" w:eastAsia="zh-Hans"/>
              </w:rPr>
              <w:tab/>
            </w:r>
          </w:p>
          <w:p w14:paraId="13B7E29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支持无分组方案质控、诊断编码质控、分组参数质控、医保排除质控等分组，并能按类型统计病例数据及占比情况。</w:t>
            </w:r>
          </w:p>
          <w:p w14:paraId="5949DC7F">
            <w:pPr>
              <w:widowControl/>
              <w:numPr>
                <w:ilvl w:val="0"/>
                <w:numId w:val="3"/>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病例数据查询</w:t>
            </w:r>
            <w:r>
              <w:rPr>
                <w:rFonts w:hint="eastAsia" w:ascii="仿宋" w:hAnsi="仿宋" w:eastAsia="仿宋" w:cs="仿宋"/>
                <w:kern w:val="0"/>
                <w:sz w:val="28"/>
                <w:szCs w:val="28"/>
                <w:lang w:val="en-US" w:eastAsia="zh-Hans"/>
              </w:rPr>
              <w:tab/>
            </w:r>
          </w:p>
          <w:p w14:paraId="7859EAD6">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按病案号查询病案首页数据和结算清单数据，并提供一键切换住院病案首页和医保结算清单功能；</w:t>
            </w:r>
          </w:p>
          <w:p w14:paraId="41C90F0D">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高亮显示病案首页/结算清单错误项，并能查看错误项原因。</w:t>
            </w:r>
          </w:p>
        </w:tc>
      </w:tr>
      <w:tr w14:paraId="33D1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739" w:type="dxa"/>
            <w:vAlign w:val="center"/>
          </w:tcPr>
          <w:p w14:paraId="372AE580">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3</w:t>
            </w:r>
          </w:p>
        </w:tc>
        <w:tc>
          <w:tcPr>
            <w:tcW w:w="1311" w:type="dxa"/>
            <w:vMerge w:val="continue"/>
            <w:vAlign w:val="center"/>
          </w:tcPr>
          <w:p w14:paraId="741D7B47">
            <w:pPr>
              <w:spacing w:line="360" w:lineRule="auto"/>
              <w:jc w:val="center"/>
              <w:rPr>
                <w:rFonts w:hint="eastAsia" w:ascii="仿宋" w:hAnsi="仿宋" w:eastAsia="仿宋" w:cs="仿宋"/>
                <w:kern w:val="0"/>
                <w:sz w:val="28"/>
                <w:szCs w:val="28"/>
                <w:lang w:val="en-US" w:eastAsia="zh-Hans"/>
              </w:rPr>
            </w:pPr>
          </w:p>
        </w:tc>
        <w:tc>
          <w:tcPr>
            <w:tcW w:w="1100" w:type="dxa"/>
            <w:vAlign w:val="center"/>
          </w:tcPr>
          <w:p w14:paraId="393CD375">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医保结算清单上报管理</w:t>
            </w:r>
          </w:p>
        </w:tc>
        <w:tc>
          <w:tcPr>
            <w:tcW w:w="5933" w:type="dxa"/>
            <w:vAlign w:val="center"/>
          </w:tcPr>
          <w:p w14:paraId="62F93ABC">
            <w:pPr>
              <w:widowControl/>
              <w:numPr>
                <w:ilvl w:val="0"/>
                <w:numId w:val="4"/>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结算清单总览</w:t>
            </w:r>
            <w:r>
              <w:rPr>
                <w:rFonts w:hint="eastAsia" w:ascii="仿宋" w:hAnsi="仿宋" w:eastAsia="仿宋" w:cs="仿宋"/>
                <w:kern w:val="0"/>
                <w:sz w:val="28"/>
                <w:szCs w:val="28"/>
                <w:lang w:val="en-US" w:eastAsia="zh-Hans"/>
              </w:rPr>
              <w:tab/>
            </w:r>
          </w:p>
          <w:p w14:paraId="2362DFD8">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系统收集病例全流程住院信息，生成可视化的医保结算清单。从结算清单的完整性、逻辑性、合理性与编码问题等多个维度展示结算清单的质控情况。</w:t>
            </w:r>
          </w:p>
          <w:p w14:paraId="0914351F">
            <w:pPr>
              <w:widowControl/>
              <w:numPr>
                <w:ilvl w:val="0"/>
                <w:numId w:val="4"/>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结算清单质控</w:t>
            </w:r>
            <w:r>
              <w:rPr>
                <w:rFonts w:hint="eastAsia" w:ascii="仿宋" w:hAnsi="仿宋" w:eastAsia="仿宋" w:cs="仿宋"/>
                <w:kern w:val="0"/>
                <w:sz w:val="28"/>
                <w:szCs w:val="28"/>
                <w:lang w:val="en-US" w:eastAsia="zh-Hans"/>
              </w:rPr>
              <w:tab/>
            </w:r>
          </w:p>
          <w:p w14:paraId="2D9F959F">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结算清单基础质控：对结算清单的病例的完整性、逻辑性、合理性与编码问题进行全方位质控，并提示具体的错误原因及修改建议。</w:t>
            </w:r>
          </w:p>
          <w:p w14:paraId="4D322936">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结算清单深度质控：从强制、疑似、建议三个质控等级对全院在院病例进行深度质控结果统计分析，找到最合理补偿组别，避免医院因为入组错误导致的亏损。</w:t>
            </w:r>
          </w:p>
          <w:p w14:paraId="1CEBE586">
            <w:pPr>
              <w:widowControl/>
              <w:numPr>
                <w:ilvl w:val="0"/>
                <w:numId w:val="4"/>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结算清单修改</w:t>
            </w:r>
            <w:r>
              <w:rPr>
                <w:rFonts w:hint="eastAsia" w:ascii="仿宋" w:hAnsi="仿宋" w:eastAsia="仿宋" w:cs="仿宋"/>
                <w:kern w:val="0"/>
                <w:sz w:val="28"/>
                <w:szCs w:val="28"/>
                <w:lang w:val="en-US" w:eastAsia="zh-Hans"/>
              </w:rPr>
              <w:tab/>
            </w:r>
          </w:p>
          <w:p w14:paraId="03E7D2A4">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医院可按照质控规则相关提示对结算清单进行修改。修改记录全面保存。</w:t>
            </w:r>
          </w:p>
          <w:p w14:paraId="02715744">
            <w:pPr>
              <w:widowControl/>
              <w:numPr>
                <w:ilvl w:val="0"/>
                <w:numId w:val="4"/>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结算清单预览</w:t>
            </w:r>
            <w:r>
              <w:rPr>
                <w:rFonts w:hint="eastAsia" w:ascii="仿宋" w:hAnsi="仿宋" w:eastAsia="仿宋" w:cs="仿宋"/>
                <w:kern w:val="0"/>
                <w:sz w:val="28"/>
                <w:szCs w:val="28"/>
                <w:lang w:val="en-US" w:eastAsia="zh-Hans"/>
              </w:rPr>
              <w:tab/>
            </w:r>
          </w:p>
          <w:p w14:paraId="46D8149F">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支持对清单现有状态及修改后的状态进行实时预览。</w:t>
            </w:r>
          </w:p>
          <w:p w14:paraId="275A6873">
            <w:pPr>
              <w:widowControl/>
              <w:numPr>
                <w:ilvl w:val="0"/>
                <w:numId w:val="4"/>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结算清单上传</w:t>
            </w:r>
            <w:r>
              <w:rPr>
                <w:rFonts w:hint="eastAsia" w:ascii="仿宋" w:hAnsi="仿宋" w:eastAsia="仿宋" w:cs="仿宋"/>
                <w:kern w:val="0"/>
                <w:sz w:val="28"/>
                <w:szCs w:val="28"/>
                <w:lang w:val="en-US" w:eastAsia="zh-Hans"/>
              </w:rPr>
              <w:tab/>
            </w:r>
          </w:p>
          <w:p w14:paraId="61F5F3AB">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系统直接对接医保局相关上传接口，对于通过医保结算清单质控的病例即可上传。</w:t>
            </w:r>
          </w:p>
          <w:p w14:paraId="68A783E9">
            <w:pPr>
              <w:widowControl/>
              <w:numPr>
                <w:ilvl w:val="0"/>
                <w:numId w:val="4"/>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质控前后对比</w:t>
            </w:r>
            <w:r>
              <w:rPr>
                <w:rFonts w:hint="eastAsia" w:ascii="仿宋" w:hAnsi="仿宋" w:eastAsia="仿宋" w:cs="仿宋"/>
                <w:kern w:val="0"/>
                <w:sz w:val="28"/>
                <w:szCs w:val="28"/>
                <w:lang w:val="en-US" w:eastAsia="zh-Hans"/>
              </w:rPr>
              <w:tab/>
            </w:r>
          </w:p>
          <w:p w14:paraId="766723B7">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系统提供质控前后入组变化/盈亏变化/标杆变化的多种对比统计维度，同时统计质控编码人员工作量与行为。</w:t>
            </w:r>
          </w:p>
        </w:tc>
      </w:tr>
      <w:tr w14:paraId="435A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trPr>
        <w:tc>
          <w:tcPr>
            <w:tcW w:w="739" w:type="dxa"/>
            <w:vAlign w:val="center"/>
          </w:tcPr>
          <w:p w14:paraId="0423D4D4">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4</w:t>
            </w:r>
          </w:p>
        </w:tc>
        <w:tc>
          <w:tcPr>
            <w:tcW w:w="1311" w:type="dxa"/>
            <w:vMerge w:val="continue"/>
            <w:vAlign w:val="center"/>
          </w:tcPr>
          <w:p w14:paraId="428A77AA">
            <w:pPr>
              <w:spacing w:line="360" w:lineRule="auto"/>
              <w:jc w:val="center"/>
              <w:rPr>
                <w:rFonts w:hint="eastAsia" w:ascii="仿宋" w:hAnsi="仿宋" w:eastAsia="仿宋" w:cs="仿宋"/>
                <w:kern w:val="0"/>
                <w:sz w:val="28"/>
                <w:szCs w:val="28"/>
                <w:lang w:val="en-US" w:eastAsia="zh-Hans"/>
              </w:rPr>
            </w:pPr>
          </w:p>
        </w:tc>
        <w:tc>
          <w:tcPr>
            <w:tcW w:w="1100" w:type="dxa"/>
            <w:vAlign w:val="center"/>
          </w:tcPr>
          <w:p w14:paraId="0E5FDE53">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DRG综合能力评价</w:t>
            </w:r>
          </w:p>
        </w:tc>
        <w:tc>
          <w:tcPr>
            <w:tcW w:w="5933" w:type="dxa"/>
            <w:vAlign w:val="center"/>
          </w:tcPr>
          <w:p w14:paraId="4622B158">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1、DRG总体指标</w:t>
            </w:r>
            <w:r>
              <w:rPr>
                <w:rFonts w:hint="eastAsia" w:ascii="仿宋" w:hAnsi="仿宋" w:eastAsia="仿宋" w:cs="仿宋"/>
                <w:kern w:val="0"/>
                <w:sz w:val="28"/>
                <w:szCs w:val="28"/>
                <w:lang w:val="en-US" w:eastAsia="zh-Hans"/>
              </w:rPr>
              <w:tab/>
            </w:r>
          </w:p>
          <w:p w14:paraId="1C216075">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展示并分析DRG关键指标信息，包括产能、效率、安全等情况，以及各指标的走势情况。</w:t>
            </w:r>
          </w:p>
          <w:p w14:paraId="0082649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2、医院病组分析</w:t>
            </w:r>
            <w:r>
              <w:rPr>
                <w:rFonts w:hint="eastAsia" w:ascii="仿宋" w:hAnsi="仿宋" w:eastAsia="仿宋" w:cs="仿宋"/>
                <w:kern w:val="0"/>
                <w:sz w:val="28"/>
                <w:szCs w:val="28"/>
                <w:lang w:val="en-US" w:eastAsia="zh-Hans"/>
              </w:rPr>
              <w:tab/>
            </w:r>
          </w:p>
          <w:p w14:paraId="5D43BC82">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病组覆盖分析：展示所有MDC、ADRG、DRG其在院内的覆盖情况，以及各病组平均住院日、平均费用、权重、病案数等指标。</w:t>
            </w:r>
          </w:p>
          <w:p w14:paraId="6F152102">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MAD三维度分析：以饼状图形式对医疗机构所选查询条件存在的①CMI较大的MDC、②病种人数较多的ADRG、③费用较大的DRGs组进行展示，并对各MDC数据进行统计分析，该功能表格支持EXCEL格式导出</w:t>
            </w:r>
          </w:p>
          <w:p w14:paraId="6852704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3、医院病种分析</w:t>
            </w:r>
            <w:r>
              <w:rPr>
                <w:rFonts w:hint="eastAsia" w:ascii="仿宋" w:hAnsi="仿宋" w:eastAsia="仿宋" w:cs="仿宋"/>
                <w:kern w:val="0"/>
                <w:sz w:val="28"/>
                <w:szCs w:val="28"/>
                <w:lang w:val="en-US" w:eastAsia="zh-Hans"/>
              </w:rPr>
              <w:tab/>
            </w:r>
          </w:p>
          <w:p w14:paraId="5C22EBC8">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病种细分分析：按照主诊断+主要手术的方式对于医院覆盖的DRG组进行细分分析，包括费用结构，住院日，CMI等指标。</w:t>
            </w:r>
          </w:p>
          <w:p w14:paraId="56F0189E">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4、医院综合分析</w:t>
            </w:r>
          </w:p>
          <w:p w14:paraId="626BD3AC">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统计分析病案情况与医疗能力情况，包括科室名称、总病案数、入组病案数、入组病案数同比、入组病案数环比、病案数同比、DRG组数、DRG组数环比、DRG组数同比、总权重等</w:t>
            </w:r>
          </w:p>
          <w:p w14:paraId="5BC5C0DA">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5、绩效评价分析</w:t>
            </w:r>
            <w:r>
              <w:rPr>
                <w:rFonts w:hint="eastAsia" w:ascii="仿宋" w:hAnsi="仿宋" w:eastAsia="仿宋" w:cs="仿宋"/>
                <w:kern w:val="0"/>
                <w:sz w:val="28"/>
                <w:szCs w:val="28"/>
                <w:lang w:val="en-US" w:eastAsia="zh-Hans"/>
              </w:rPr>
              <w:tab/>
            </w:r>
          </w:p>
          <w:p w14:paraId="78D4299A">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科室评价分析：分别以折线图和象限图的形式展现选中科室在指定时间范围内的产能(DRGs组数、DRGs总权重、CMI指数)、效率(时间消耗指数、费用消耗指数)、安全(低风险死亡率，中低风险死亡率、中高风险死亡率、高风险死亡率)等关键指标，并能以表格的形式展示各科室DRGs相关关键指标数据。包括总病例数、综合得分、DRGs指数、DRGs总权重、CMI指数、例均费用、时间消耗指数、费用消耗指数、平均住院日、低风险死亡率、中低风险死亡率、药品费占比、耗材费占比、检查费占比等；</w:t>
            </w:r>
          </w:p>
          <w:p w14:paraId="3CDC6D4A">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诊疗组评价分析：以雷达图的形式展示不同诊疗组的DRG指标，包括产能(DRG组数、总权重、CMI指数)、效率(时间消耗指数、费用消耗指数)、安全(低风险死亡率、中低风险死亡率、中高风险死亡率、高风险死亡率)等）；</w:t>
            </w:r>
          </w:p>
          <w:p w14:paraId="271B1742">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医生评价分析：以折线图的形式展示各科室医生的DRGs关键指标，包括DRGs总权重、CMI指数、时间消耗指数、费用消耗指数、低风险死亡率等，并能以表格的形式展示各主治医生DRGs相关关键指标数据，包括综合得分、DRGs指数、DRGs总权重、CMI指数、平均住院日、时间消耗指数、费用消耗指数、低风险死亡率、药品费占比、耗材费占比、检查费占比、诊疗费占比，同时能以Excel表格的形式导出医生评价分析信息。</w:t>
            </w:r>
          </w:p>
          <w:p w14:paraId="23F9851F">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6、辅助管理分析</w:t>
            </w:r>
          </w:p>
          <w:p w14:paraId="4A9D989D">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手术等级分析：分别以折线图和表格的形式展示科室在选定时间范围内发生的手术等级信息，包括总手术例数、一级手术例数、二级手术例数、三级手术例数、四级手术例数等，并与同期数据进行对比，同时能以Excel表格的形式导出手术等级分析数据；</w:t>
            </w:r>
          </w:p>
          <w:p w14:paraId="78E0F960">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7、重点手术分析：以图表的形式展示重点手术例数的本月与同期对比情况、重点手术在科室分布情况TOP10，以及各重点手术的发生例数、死亡例数、死亡率、平均住院日、同期、环比、同比、平均费用等信息，同时能以Excel表格的形式导出重点手术分析；</w:t>
            </w:r>
          </w:p>
          <w:p w14:paraId="0C47BA9D">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8、重点疾病分析：分别以柱状图、饼图、统计表格的形式展示重点疾病在医疗机构的发生情况，同时能以Excel表格的形式导出重点疾病分析情况：</w:t>
            </w:r>
          </w:p>
          <w:p w14:paraId="251674A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9、医院安全分析：以环形图的形式展示医院风险等级占比情况，并以柱形图的形式展示各科室的低风险和中风险人数占比情况，同时能以Excel表格的形式导出医院安全分析信息。</w:t>
            </w:r>
          </w:p>
          <w:p w14:paraId="4FF71470">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10、DRG知识库</w:t>
            </w:r>
            <w:r>
              <w:rPr>
                <w:rFonts w:hint="eastAsia" w:ascii="仿宋" w:hAnsi="仿宋" w:eastAsia="仿宋" w:cs="仿宋"/>
                <w:kern w:val="0"/>
                <w:sz w:val="28"/>
                <w:szCs w:val="28"/>
                <w:lang w:val="en-US" w:eastAsia="zh-Hans"/>
              </w:rPr>
              <w:tab/>
            </w:r>
          </w:p>
          <w:p w14:paraId="0AFFC126">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展示DRG知识库信息，包括各病组平均住院日、平均费用、权重、风险等级等指标。</w:t>
            </w:r>
          </w:p>
          <w:p w14:paraId="45A7C4AC">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11、DRG分组模拟</w:t>
            </w:r>
            <w:r>
              <w:rPr>
                <w:rFonts w:hint="eastAsia" w:ascii="仿宋" w:hAnsi="仿宋" w:eastAsia="仿宋" w:cs="仿宋"/>
                <w:kern w:val="0"/>
                <w:sz w:val="28"/>
                <w:szCs w:val="28"/>
                <w:lang w:val="en-US" w:eastAsia="zh-Hans"/>
              </w:rPr>
              <w:tab/>
            </w:r>
          </w:p>
          <w:p w14:paraId="1F19830B">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通过输入分组的关键字段，模拟病例分组，并能根据选择的不同分组器，查看病例的入组结果。</w:t>
            </w:r>
          </w:p>
        </w:tc>
      </w:tr>
      <w:tr w14:paraId="167A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739" w:type="dxa"/>
            <w:vAlign w:val="center"/>
          </w:tcPr>
          <w:p w14:paraId="70DB7531">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5</w:t>
            </w:r>
          </w:p>
        </w:tc>
        <w:tc>
          <w:tcPr>
            <w:tcW w:w="1311" w:type="dxa"/>
            <w:vMerge w:val="continue"/>
            <w:vAlign w:val="center"/>
          </w:tcPr>
          <w:p w14:paraId="7EC8762A">
            <w:pPr>
              <w:spacing w:line="360" w:lineRule="auto"/>
              <w:jc w:val="center"/>
              <w:rPr>
                <w:rFonts w:hint="eastAsia" w:ascii="仿宋" w:hAnsi="仿宋" w:eastAsia="仿宋" w:cs="仿宋"/>
                <w:kern w:val="0"/>
                <w:sz w:val="28"/>
                <w:szCs w:val="28"/>
                <w:lang w:val="en-US" w:eastAsia="zh-Hans"/>
              </w:rPr>
            </w:pPr>
          </w:p>
        </w:tc>
        <w:tc>
          <w:tcPr>
            <w:tcW w:w="1100" w:type="dxa"/>
            <w:vAlign w:val="center"/>
          </w:tcPr>
          <w:p w14:paraId="2077BD66">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医保付费预测分析</w:t>
            </w:r>
          </w:p>
        </w:tc>
        <w:tc>
          <w:tcPr>
            <w:tcW w:w="5933" w:type="dxa"/>
            <w:vAlign w:val="center"/>
          </w:tcPr>
          <w:p w14:paraId="00F7469B">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1、医保支付预测</w:t>
            </w:r>
            <w:r>
              <w:rPr>
                <w:rFonts w:hint="eastAsia" w:ascii="仿宋" w:hAnsi="仿宋" w:eastAsia="仿宋" w:cs="仿宋"/>
                <w:kern w:val="0"/>
                <w:sz w:val="28"/>
                <w:szCs w:val="28"/>
                <w:lang w:val="en-US" w:eastAsia="zh-Hans"/>
              </w:rPr>
              <w:tab/>
            </w:r>
          </w:p>
          <w:p w14:paraId="1E30AC8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统计医保DRG支付情况，包括人次和金额信息，并能修改预测单价和医保单价，同时能对当前期号数据进行重新测算。</w:t>
            </w:r>
          </w:p>
          <w:p w14:paraId="33845681">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2、医保付费概览</w:t>
            </w:r>
            <w:r>
              <w:rPr>
                <w:rFonts w:hint="eastAsia" w:ascii="仿宋" w:hAnsi="仿宋" w:eastAsia="仿宋" w:cs="仿宋"/>
                <w:kern w:val="0"/>
                <w:sz w:val="28"/>
                <w:szCs w:val="28"/>
                <w:lang w:val="en-US" w:eastAsia="zh-Hans"/>
              </w:rPr>
              <w:tab/>
            </w:r>
          </w:p>
          <w:p w14:paraId="5DF285F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按付费方式统计分析指定时间范围内的医保付费信息，包括付费总人次、原项目支付总额，支付预测总额、预测盈亏金额、预测盈亏比、支付人数结构、费用占比等，并能展示指定时间范围内的盈亏趋势，超支科室、严重超支病种等信息。</w:t>
            </w:r>
          </w:p>
          <w:p w14:paraId="3C22EC5C">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3、科室盈亏分析</w:t>
            </w:r>
            <w:r>
              <w:rPr>
                <w:rFonts w:hint="eastAsia" w:ascii="仿宋" w:hAnsi="仿宋" w:eastAsia="仿宋" w:cs="仿宋"/>
                <w:kern w:val="0"/>
                <w:sz w:val="28"/>
                <w:szCs w:val="28"/>
                <w:lang w:val="en-US" w:eastAsia="zh-Hans"/>
              </w:rPr>
              <w:tab/>
            </w:r>
          </w:p>
          <w:p w14:paraId="30D47CF4">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按科室统计分析指定时间范围内的医保付费信息，并能按费用和效率指标进行标签标记，同时能查看科室覆盖的病组情况、各病组的费用结构情况、以及该科室整体费用结构、例均费用最高的项目排名、病例详情等。</w:t>
            </w:r>
          </w:p>
          <w:p w14:paraId="029DECE7">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4、医生盈亏分析</w:t>
            </w:r>
            <w:r>
              <w:rPr>
                <w:rFonts w:hint="eastAsia" w:ascii="仿宋" w:hAnsi="仿宋" w:eastAsia="仿宋" w:cs="仿宋"/>
                <w:kern w:val="0"/>
                <w:sz w:val="28"/>
                <w:szCs w:val="28"/>
                <w:lang w:val="en-US" w:eastAsia="zh-Hans"/>
              </w:rPr>
              <w:tab/>
            </w:r>
          </w:p>
          <w:p w14:paraId="03AC0F97">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按医生统计分析指定时间范围医保付费信息，并能按费用和效率指标进行标签标记，同时能查看医生覆盖的病组情况、各病组的费用结构情况、医生整体费用结构、例均费用最高的项目排名、病例详情等。</w:t>
            </w:r>
          </w:p>
          <w:p w14:paraId="7C3A8D41">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5、病组盈亏分析</w:t>
            </w:r>
            <w:r>
              <w:rPr>
                <w:rFonts w:hint="eastAsia" w:ascii="仿宋" w:hAnsi="仿宋" w:eastAsia="仿宋" w:cs="仿宋"/>
                <w:kern w:val="0"/>
                <w:sz w:val="28"/>
                <w:szCs w:val="28"/>
                <w:lang w:val="en-US" w:eastAsia="zh-Hans"/>
              </w:rPr>
              <w:tab/>
            </w:r>
          </w:p>
          <w:p w14:paraId="30F30EBA">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按病组统计分析指定时间范围内的医保付费信息，并能按费用和效率指标赋予标签，同时能查看病组费用结构，例均费用最高的项目排名、病组超支科室情况、病组超支医生情况以及病例详情等。</w:t>
            </w:r>
          </w:p>
          <w:p w14:paraId="61F745B4">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6、病例盈亏分析</w:t>
            </w:r>
            <w:r>
              <w:rPr>
                <w:rFonts w:hint="eastAsia" w:ascii="仿宋" w:hAnsi="仿宋" w:eastAsia="仿宋" w:cs="仿宋"/>
                <w:kern w:val="0"/>
                <w:sz w:val="28"/>
                <w:szCs w:val="28"/>
                <w:lang w:val="en-US" w:eastAsia="zh-Hans"/>
              </w:rPr>
              <w:tab/>
            </w:r>
          </w:p>
          <w:p w14:paraId="2B9C80F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统计分析指定时间范围医保付费病例盈亏数据，并能按费用和效率指标赋予标签，同时能查看病组费用结构、例均费用最高的项目排名、该病组超支科室情况、该病组超支医生情况以及病例详情等病组数据。</w:t>
            </w:r>
          </w:p>
          <w:p w14:paraId="69C8CDF6">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7、医院费用分析</w:t>
            </w:r>
            <w:r>
              <w:rPr>
                <w:rFonts w:hint="eastAsia" w:ascii="仿宋" w:hAnsi="仿宋" w:eastAsia="仿宋" w:cs="仿宋"/>
                <w:kern w:val="0"/>
                <w:sz w:val="28"/>
                <w:szCs w:val="28"/>
                <w:lang w:val="en-US" w:eastAsia="zh-Hans"/>
              </w:rPr>
              <w:tab/>
            </w:r>
          </w:p>
          <w:p w14:paraId="562BB52A">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统计分析全院整体费用情况，包括总费用、自付金额、例均费用、各科室的自付金额对比趋势情况、各科室的各费用项占比情况等。</w:t>
            </w:r>
          </w:p>
          <w:p w14:paraId="48AE11F1">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8、预测单价管理</w:t>
            </w:r>
            <w:r>
              <w:rPr>
                <w:rFonts w:hint="eastAsia" w:ascii="仿宋" w:hAnsi="仿宋" w:eastAsia="仿宋" w:cs="仿宋"/>
                <w:kern w:val="0"/>
                <w:sz w:val="28"/>
                <w:szCs w:val="28"/>
                <w:lang w:val="en-US" w:eastAsia="zh-Hans"/>
              </w:rPr>
              <w:tab/>
            </w:r>
          </w:p>
          <w:p w14:paraId="6EAB93D6">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展示往期支付单价信息，并提供单价查询、单价修改等功能。</w:t>
            </w:r>
          </w:p>
          <w:p w14:paraId="7CD6206E">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9、医保反馈对比</w:t>
            </w:r>
            <w:r>
              <w:rPr>
                <w:rFonts w:hint="eastAsia" w:ascii="仿宋" w:hAnsi="仿宋" w:eastAsia="仿宋" w:cs="仿宋"/>
                <w:kern w:val="0"/>
                <w:sz w:val="28"/>
                <w:szCs w:val="28"/>
                <w:lang w:val="en-US" w:eastAsia="zh-Hans"/>
              </w:rPr>
              <w:tab/>
            </w:r>
          </w:p>
          <w:p w14:paraId="45307B48">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支持导入当地医保局实际反馈的分组/盈亏数据并与系统预测的分组/盈亏数据进行对比。</w:t>
            </w:r>
          </w:p>
        </w:tc>
      </w:tr>
      <w:tr w14:paraId="6BE9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39" w:type="dxa"/>
            <w:vAlign w:val="center"/>
          </w:tcPr>
          <w:p w14:paraId="3E792E4A">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6</w:t>
            </w:r>
          </w:p>
        </w:tc>
        <w:tc>
          <w:tcPr>
            <w:tcW w:w="1311" w:type="dxa"/>
            <w:vMerge w:val="continue"/>
            <w:vAlign w:val="center"/>
          </w:tcPr>
          <w:p w14:paraId="76FE5142">
            <w:pPr>
              <w:spacing w:line="360" w:lineRule="auto"/>
              <w:jc w:val="center"/>
              <w:rPr>
                <w:rFonts w:hint="eastAsia" w:ascii="仿宋" w:hAnsi="仿宋" w:eastAsia="仿宋" w:cs="仿宋"/>
                <w:kern w:val="0"/>
                <w:sz w:val="28"/>
                <w:szCs w:val="28"/>
                <w:lang w:val="en-US" w:eastAsia="zh-Hans"/>
              </w:rPr>
            </w:pPr>
          </w:p>
        </w:tc>
        <w:tc>
          <w:tcPr>
            <w:tcW w:w="1100" w:type="dxa"/>
            <w:vAlign w:val="center"/>
          </w:tcPr>
          <w:p w14:paraId="56D32F16">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医院运营决策管理</w:t>
            </w:r>
          </w:p>
        </w:tc>
        <w:tc>
          <w:tcPr>
            <w:tcW w:w="5933" w:type="dxa"/>
            <w:vAlign w:val="center"/>
          </w:tcPr>
          <w:p w14:paraId="29CD0348">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1、运营综合指标</w:t>
            </w:r>
            <w:r>
              <w:rPr>
                <w:rFonts w:hint="eastAsia" w:ascii="仿宋" w:hAnsi="仿宋" w:eastAsia="仿宋" w:cs="仿宋"/>
                <w:kern w:val="0"/>
                <w:sz w:val="28"/>
                <w:szCs w:val="28"/>
                <w:lang w:val="en-US" w:eastAsia="zh-Hans"/>
              </w:rPr>
              <w:tab/>
            </w:r>
          </w:p>
          <w:p w14:paraId="443CC6CF">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展示各科室的入院人次、出院人次、住院总费用、DRG组数、总权重CMI等随时间变化趋势，以及以指标的同比、环比情况，并能以表格的形式展示综合指标数据，同时通过颜色区分变化趋势的优劣，以及支持以Excel表格的形式导出运营综合指标数据。</w:t>
            </w:r>
          </w:p>
          <w:p w14:paraId="1E3877B0">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2、异常预警</w:t>
            </w:r>
            <w:r>
              <w:rPr>
                <w:rFonts w:hint="eastAsia" w:ascii="仿宋" w:hAnsi="仿宋" w:eastAsia="仿宋" w:cs="仿宋"/>
                <w:kern w:val="0"/>
                <w:sz w:val="28"/>
                <w:szCs w:val="28"/>
                <w:lang w:val="en-US" w:eastAsia="zh-Hans"/>
              </w:rPr>
              <w:tab/>
            </w:r>
          </w:p>
          <w:p w14:paraId="058CA21B">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全院异常预警：对院内重点关注指标进行排名预警分析，包括药占比、抗菌药物占比、DRG未入组病案数、时间消耗指数、费用消耗指数、低风险死亡人数等。</w:t>
            </w:r>
          </w:p>
          <w:p w14:paraId="7F8CDB91">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科室费用预警：按科室对指定时间范围内的费用信息进行统计分析，并按费用和效率指标用标签标记；展示科室病例数、医生人数、覆盖病组数、盈亏金额及盈亏比情况，并能查看科室覆盖的病组情况、各病组的费用结构情况，科室整体费用结构、例均费用最高的项目排名、病例详情等科室数据。</w:t>
            </w:r>
          </w:p>
          <w:p w14:paraId="3101D64C">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风险病例预警：从费用风险、入组风险、质控风险多角度对医院可能存在问题的病例进行提示。支持通过提示定位具体病例，避免错误重复发生。</w:t>
            </w:r>
          </w:p>
          <w:p w14:paraId="78A62943">
            <w:pPr>
              <w:widowControl/>
              <w:numPr>
                <w:ilvl w:val="0"/>
                <w:numId w:val="5"/>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医保费用构成</w:t>
            </w:r>
            <w:r>
              <w:rPr>
                <w:rFonts w:hint="eastAsia" w:ascii="仿宋" w:hAnsi="仿宋" w:eastAsia="仿宋" w:cs="仿宋"/>
                <w:kern w:val="0"/>
                <w:sz w:val="28"/>
                <w:szCs w:val="28"/>
                <w:lang w:val="en-US" w:eastAsia="zh-Hans"/>
              </w:rPr>
              <w:tab/>
            </w:r>
          </w:p>
          <w:p w14:paraId="6F4CDB2E">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统计分析医保费用构成情况，并展示医保结算人次、总费用、医保收入、医疗支付方式占比进行分析、病组权重排名等。</w:t>
            </w:r>
          </w:p>
          <w:p w14:paraId="7162CFC9">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2、OE值监管</w:t>
            </w:r>
            <w:r>
              <w:rPr>
                <w:rFonts w:hint="eastAsia" w:ascii="仿宋" w:hAnsi="仿宋" w:eastAsia="仿宋" w:cs="仿宋"/>
                <w:kern w:val="0"/>
                <w:sz w:val="28"/>
                <w:szCs w:val="28"/>
                <w:lang w:val="en-US" w:eastAsia="zh-Hans"/>
              </w:rPr>
              <w:tab/>
            </w:r>
          </w:p>
          <w:p w14:paraId="28FE66A2">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从科室、医师、DRG组、病例四个方面分析OE值情况，并能从例均费用、平均住院日、耗材费、药品费4个方面分别展示，同时统计科室、医师、DRG、病例0/E值&gt;1的占比情况，以及能以趋势图和柱形图的形式进行展示。</w:t>
            </w:r>
          </w:p>
          <w:p w14:paraId="2D5DFAB7">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3、事前事中对比</w:t>
            </w:r>
            <w:r>
              <w:rPr>
                <w:rFonts w:hint="eastAsia" w:ascii="仿宋" w:hAnsi="仿宋" w:eastAsia="仿宋" w:cs="仿宋"/>
                <w:kern w:val="0"/>
                <w:sz w:val="28"/>
                <w:szCs w:val="28"/>
                <w:lang w:val="en-US" w:eastAsia="zh-Hans"/>
              </w:rPr>
              <w:tab/>
            </w:r>
          </w:p>
          <w:p w14:paraId="52E74A2F">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对医生HIS端填写病案首页与病案科修正病案首页进行对比，发现病案常见问题，并统计病案科矫正工作量。</w:t>
            </w:r>
          </w:p>
          <w:p w14:paraId="4CDC0291">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4、数据分析报告</w:t>
            </w:r>
            <w:r>
              <w:rPr>
                <w:rFonts w:hint="eastAsia" w:ascii="仿宋" w:hAnsi="仿宋" w:eastAsia="仿宋" w:cs="仿宋"/>
                <w:kern w:val="0"/>
                <w:sz w:val="28"/>
                <w:szCs w:val="28"/>
                <w:lang w:val="en-US" w:eastAsia="zh-Hans"/>
              </w:rPr>
              <w:tab/>
            </w:r>
          </w:p>
          <w:p w14:paraId="0C50D9D3">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在医院数据分析报告中展示数据情况说明、医院总体情况、医保付费预测、医院运营决策等，并能从DRG指标评价、DRG付费预测、病种运营管理、学科发展等多维度分析全院的DRG情况。</w:t>
            </w:r>
          </w:p>
        </w:tc>
      </w:tr>
      <w:tr w14:paraId="208B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739" w:type="dxa"/>
            <w:vAlign w:val="center"/>
          </w:tcPr>
          <w:p w14:paraId="11A3FBFF">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7</w:t>
            </w:r>
          </w:p>
        </w:tc>
        <w:tc>
          <w:tcPr>
            <w:tcW w:w="1311" w:type="dxa"/>
            <w:vMerge w:val="continue"/>
            <w:vAlign w:val="center"/>
          </w:tcPr>
          <w:p w14:paraId="68A44A4D">
            <w:pPr>
              <w:spacing w:line="360" w:lineRule="auto"/>
              <w:jc w:val="center"/>
              <w:rPr>
                <w:rFonts w:hint="eastAsia" w:ascii="仿宋" w:hAnsi="仿宋" w:eastAsia="仿宋" w:cs="仿宋"/>
                <w:kern w:val="0"/>
                <w:sz w:val="28"/>
                <w:szCs w:val="28"/>
                <w:lang w:val="en-US" w:eastAsia="zh-Hans"/>
              </w:rPr>
            </w:pPr>
          </w:p>
        </w:tc>
        <w:tc>
          <w:tcPr>
            <w:tcW w:w="1100" w:type="dxa"/>
            <w:vAlign w:val="center"/>
          </w:tcPr>
          <w:p w14:paraId="445CAF47">
            <w:pPr>
              <w:widowControl/>
              <w:spacing w:line="360" w:lineRule="auto"/>
              <w:jc w:val="center"/>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系统管理</w:t>
            </w:r>
          </w:p>
        </w:tc>
        <w:tc>
          <w:tcPr>
            <w:tcW w:w="5933" w:type="dxa"/>
            <w:vAlign w:val="center"/>
          </w:tcPr>
          <w:p w14:paraId="3B29842C">
            <w:pPr>
              <w:widowControl/>
              <w:numPr>
                <w:ilvl w:val="0"/>
                <w:numId w:val="6"/>
              </w:numPr>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角色权限管理</w:t>
            </w:r>
            <w:r>
              <w:rPr>
                <w:rFonts w:hint="eastAsia" w:ascii="仿宋" w:hAnsi="仿宋" w:eastAsia="仿宋" w:cs="仿宋"/>
                <w:kern w:val="0"/>
                <w:sz w:val="28"/>
                <w:szCs w:val="28"/>
                <w:lang w:val="en-US" w:eastAsia="zh-Hans"/>
              </w:rPr>
              <w:tab/>
            </w:r>
          </w:p>
          <w:p w14:paraId="06DA44D4">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编辑、删除、复制角色信息，并能为角色分配权限，同时提供角色启用、角色禁用、角色复制、人员管理、权限复制等功能。</w:t>
            </w:r>
          </w:p>
          <w:p w14:paraId="2850D4C8">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2、信息维护</w:t>
            </w:r>
            <w:r>
              <w:rPr>
                <w:rFonts w:hint="eastAsia" w:ascii="仿宋" w:hAnsi="仿宋" w:eastAsia="仿宋" w:cs="仿宋"/>
                <w:kern w:val="0"/>
                <w:sz w:val="28"/>
                <w:szCs w:val="28"/>
                <w:lang w:val="en-US" w:eastAsia="zh-Hans"/>
              </w:rPr>
              <w:tab/>
            </w:r>
          </w:p>
          <w:p w14:paraId="7E95A0E8">
            <w:pPr>
              <w:widowControl/>
              <w:spacing w:line="360" w:lineRule="auto"/>
              <w:textAlignment w:val="center"/>
              <w:rPr>
                <w:rFonts w:hint="eastAsia" w:ascii="仿宋" w:hAnsi="仿宋" w:eastAsia="仿宋" w:cs="仿宋"/>
                <w:kern w:val="0"/>
                <w:sz w:val="28"/>
                <w:szCs w:val="28"/>
                <w:lang w:val="en-US" w:eastAsia="zh-Hans"/>
              </w:rPr>
            </w:pPr>
            <w:r>
              <w:rPr>
                <w:rFonts w:hint="eastAsia" w:ascii="仿宋" w:hAnsi="仿宋" w:eastAsia="仿宋" w:cs="仿宋"/>
                <w:kern w:val="0"/>
                <w:sz w:val="28"/>
                <w:szCs w:val="28"/>
                <w:lang w:val="en-US" w:eastAsia="zh-Hans"/>
              </w:rPr>
              <w:t>消息配置、参数配置、医保政策管理</w:t>
            </w:r>
          </w:p>
        </w:tc>
      </w:tr>
    </w:tbl>
    <w:p w14:paraId="4BC609D7">
      <w:pPr>
        <w:numPr>
          <w:ilvl w:val="0"/>
          <w:numId w:val="0"/>
        </w:numPr>
        <w:rPr>
          <w:rFonts w:hint="eastAsia" w:ascii="宋体" w:hAnsi="宋体" w:eastAsia="宋体" w:cs="宋体"/>
          <w:sz w:val="24"/>
          <w:szCs w:val="24"/>
          <w:lang w:val="en-US" w:eastAsia="zh-CN"/>
        </w:rPr>
      </w:pPr>
    </w:p>
    <w:p w14:paraId="295F2E98">
      <w:pPr>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br w:type="page"/>
      </w:r>
    </w:p>
    <w:p w14:paraId="3253ED95">
      <w:pPr>
        <w:keepNext w:val="0"/>
        <w:keepLines w:val="0"/>
        <w:pageBreakBefore w:val="0"/>
        <w:numPr>
          <w:ilvl w:val="0"/>
          <w:numId w:val="0"/>
        </w:numPr>
        <w:kinsoku/>
        <w:wordWrap/>
        <w:overflowPunct/>
        <w:topLinePunct w:val="0"/>
        <w:autoSpaceDE/>
        <w:autoSpaceDN/>
        <w:bidi w:val="0"/>
        <w:adjustRightInd/>
        <w:snapToGrid/>
        <w:spacing w:line="500" w:lineRule="exact"/>
        <w:jc w:val="center"/>
        <w:rPr>
          <w:rFonts w:hint="eastAsia" w:ascii="仿宋" w:hAnsi="仿宋" w:eastAsia="仿宋" w:cs="仿宋"/>
          <w:b w:val="0"/>
          <w:bCs w:val="0"/>
          <w:color w:val="auto"/>
          <w:sz w:val="28"/>
          <w:szCs w:val="28"/>
          <w:highlight w:val="yellow"/>
          <w:lang w:val="en-US" w:eastAsia="zh-CN"/>
        </w:rPr>
      </w:pPr>
      <w:r>
        <w:rPr>
          <w:rFonts w:hint="eastAsia" w:ascii="仿宋" w:hAnsi="仿宋" w:eastAsia="仿宋" w:cs="仿宋"/>
          <w:b w:val="0"/>
          <w:bCs w:val="0"/>
          <w:color w:val="auto"/>
          <w:sz w:val="28"/>
          <w:szCs w:val="28"/>
          <w:highlight w:val="yellow"/>
          <w:lang w:val="en-US" w:eastAsia="zh-CN"/>
        </w:rPr>
        <w:t>包二：</w:t>
      </w:r>
      <w:r>
        <w:rPr>
          <w:rFonts w:hint="default" w:ascii="仿宋" w:hAnsi="仿宋" w:eastAsia="仿宋" w:cs="仿宋"/>
          <w:b w:val="0"/>
          <w:bCs w:val="0"/>
          <w:color w:val="auto"/>
          <w:sz w:val="28"/>
          <w:szCs w:val="28"/>
          <w:highlight w:val="yellow"/>
          <w:lang w:val="en-US" w:eastAsia="zh-CN"/>
        </w:rPr>
        <w:t>院感系统运维及传染病前置软件数据质量提升</w:t>
      </w:r>
      <w:r>
        <w:rPr>
          <w:rFonts w:hint="eastAsia" w:ascii="仿宋" w:hAnsi="仿宋" w:eastAsia="仿宋" w:cs="仿宋"/>
          <w:b w:val="0"/>
          <w:bCs w:val="0"/>
          <w:color w:val="auto"/>
          <w:sz w:val="28"/>
          <w:szCs w:val="28"/>
          <w:highlight w:val="yellow"/>
          <w:lang w:val="en-US" w:eastAsia="zh-CN"/>
        </w:rPr>
        <w:t>服务</w:t>
      </w:r>
    </w:p>
    <w:p w14:paraId="146B0F39">
      <w:pPr>
        <w:keepNext w:val="0"/>
        <w:keepLines w:val="0"/>
        <w:pageBreakBefore w:val="0"/>
        <w:numPr>
          <w:ilvl w:val="0"/>
          <w:numId w:val="0"/>
        </w:numPr>
        <w:kinsoku/>
        <w:wordWrap/>
        <w:overflowPunct/>
        <w:topLinePunct w:val="0"/>
        <w:autoSpaceDE/>
        <w:autoSpaceDN/>
        <w:bidi w:val="0"/>
        <w:adjustRightInd/>
        <w:snapToGrid/>
        <w:spacing w:line="500" w:lineRule="exact"/>
        <w:jc w:val="center"/>
        <w:rPr>
          <w:rFonts w:hint="default" w:ascii="仿宋" w:hAnsi="仿宋" w:eastAsia="仿宋" w:cs="仿宋"/>
          <w:b w:val="0"/>
          <w:bCs w:val="0"/>
          <w:color w:val="auto"/>
          <w:sz w:val="28"/>
          <w:szCs w:val="28"/>
          <w:highlight w:val="yellow"/>
          <w:lang w:val="en-US" w:eastAsia="zh-CN"/>
        </w:rPr>
      </w:pPr>
    </w:p>
    <w:p w14:paraId="19C88797">
      <w:pPr>
        <w:keepNext w:val="0"/>
        <w:keepLines w:val="0"/>
        <w:pageBreakBefore w:val="0"/>
        <w:numPr>
          <w:ilvl w:val="0"/>
          <w:numId w:val="0"/>
        </w:numPr>
        <w:kinsoku/>
        <w:wordWrap/>
        <w:overflowPunct/>
        <w:topLinePunct w:val="0"/>
        <w:autoSpaceDE/>
        <w:autoSpaceDN/>
        <w:bidi w:val="0"/>
        <w:adjustRightInd/>
        <w:snapToGrid/>
        <w:spacing w:line="500" w:lineRule="exact"/>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highlight w:val="none"/>
        </w:rPr>
        <w:t>★</w:t>
      </w:r>
      <w:r>
        <w:rPr>
          <w:rFonts w:hint="eastAsia" w:ascii="仿宋" w:hAnsi="仿宋" w:eastAsia="仿宋" w:cs="仿宋"/>
          <w:b w:val="0"/>
          <w:bCs w:val="0"/>
          <w:color w:val="auto"/>
          <w:sz w:val="28"/>
          <w:szCs w:val="28"/>
          <w:highlight w:val="none"/>
          <w:lang w:val="en-US" w:eastAsia="zh-CN"/>
        </w:rPr>
        <w:t>一</w:t>
      </w:r>
      <w:r>
        <w:rPr>
          <w:rFonts w:hint="eastAsia" w:ascii="仿宋" w:hAnsi="仿宋" w:eastAsia="仿宋" w:cs="仿宋"/>
          <w:b w:val="0"/>
          <w:bCs w:val="0"/>
          <w:color w:val="auto"/>
          <w:kern w:val="2"/>
          <w:sz w:val="28"/>
          <w:szCs w:val="28"/>
          <w:lang w:val="en-US" w:eastAsia="zh-CN" w:bidi="ar-SA"/>
        </w:rPr>
        <w:t>、</w:t>
      </w:r>
      <w:r>
        <w:rPr>
          <w:rFonts w:hint="eastAsia" w:ascii="仿宋" w:hAnsi="仿宋" w:eastAsia="仿宋" w:cs="仿宋"/>
          <w:b w:val="0"/>
          <w:bCs w:val="0"/>
          <w:color w:val="auto"/>
          <w:sz w:val="28"/>
          <w:szCs w:val="28"/>
          <w:lang w:val="en-US" w:eastAsia="zh-CN"/>
        </w:rPr>
        <w:t>采购需求</w:t>
      </w:r>
    </w:p>
    <w:p w14:paraId="61F25308">
      <w:pPr>
        <w:numPr>
          <w:ilvl w:val="0"/>
          <w:numId w:val="0"/>
        </w:numPr>
        <w:spacing w:line="360" w:lineRule="auto"/>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（一） 国家传染病智能监测预警前置软件数据质量提升</w:t>
      </w:r>
    </w:p>
    <w:p w14:paraId="0C46BF8C">
      <w:pPr>
        <w:numPr>
          <w:ilvl w:val="0"/>
          <w:numId w:val="0"/>
        </w:numPr>
        <w:spacing w:line="360" w:lineRule="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1、数据完整性提升</w:t>
      </w:r>
    </w:p>
    <w:p w14:paraId="3585ECBC">
      <w:pPr>
        <w:spacing w:before="80" w:after="80" w:line="360" w:lineRule="auto"/>
        <w:ind w:left="0" w:leftChars="0" w:firstLine="420" w:firstLineChars="0"/>
        <w:rPr>
          <w:rFonts w:hint="eastAsia" w:ascii="仿宋" w:hAnsi="仿宋" w:eastAsia="仿宋" w:cs="仿宋"/>
          <w:sz w:val="28"/>
          <w:szCs w:val="28"/>
        </w:rPr>
      </w:pPr>
      <w:r>
        <w:rPr>
          <w:rFonts w:hint="eastAsia" w:ascii="仿宋" w:hAnsi="仿宋" w:eastAsia="仿宋" w:cs="仿宋"/>
          <w:sz w:val="28"/>
          <w:szCs w:val="28"/>
        </w:rPr>
        <w:t>对照《国家传染病智能监测预警前置软件数据集成和API接口规范》，梳理各接口数据字段，确保应填必填字段的完整采集：</w:t>
      </w:r>
    </w:p>
    <w:p w14:paraId="4184DE32">
      <w:pPr>
        <w:pStyle w:val="25"/>
        <w:numPr>
          <w:ilvl w:val="0"/>
          <w:numId w:val="7"/>
        </w:numPr>
        <w:spacing w:before="80" w:after="80" w:line="360" w:lineRule="auto"/>
        <w:ind w:left="0" w:leftChars="0" w:firstLine="454" w:firstLineChars="0"/>
        <w:rPr>
          <w:rFonts w:hint="eastAsia" w:ascii="仿宋" w:hAnsi="仿宋" w:eastAsia="仿宋" w:cs="仿宋"/>
          <w:sz w:val="28"/>
          <w:szCs w:val="28"/>
        </w:rPr>
      </w:pPr>
      <w:r>
        <w:rPr>
          <w:rFonts w:hint="eastAsia" w:ascii="仿宋" w:hAnsi="仿宋" w:eastAsia="仿宋" w:cs="仿宋"/>
          <w:sz w:val="28"/>
          <w:szCs w:val="28"/>
        </w:rPr>
        <w:t>患者基本信息接口：完善性别、出生日期、国籍、现住址、民族、职业地址、联系电话、入院日期、主诉、现病史、既往史、体格检查、辅助检查等字段的数据采集规范。</w:t>
      </w:r>
    </w:p>
    <w:p w14:paraId="5864CC72">
      <w:pPr>
        <w:pStyle w:val="25"/>
        <w:numPr>
          <w:ilvl w:val="0"/>
          <w:numId w:val="7"/>
        </w:numPr>
        <w:spacing w:before="80" w:after="80" w:line="360" w:lineRule="auto"/>
        <w:ind w:left="0" w:leftChars="0" w:firstLine="454" w:firstLineChars="0"/>
        <w:rPr>
          <w:rFonts w:hint="eastAsia" w:ascii="仿宋" w:hAnsi="仿宋" w:eastAsia="仿宋" w:cs="仿宋"/>
          <w:sz w:val="28"/>
          <w:szCs w:val="28"/>
        </w:rPr>
      </w:pPr>
      <w:r>
        <w:rPr>
          <w:rFonts w:hint="eastAsia" w:ascii="仿宋" w:hAnsi="仿宋" w:eastAsia="仿宋" w:cs="仿宋"/>
          <w:sz w:val="28"/>
          <w:szCs w:val="28"/>
        </w:rPr>
        <w:t>诊断信息接口：规范诊断类型名称（门急诊诊断/入院诊断/出院诊断）、诊断编码（ICD-10标准）、诊断名称字段的填报。</w:t>
      </w:r>
    </w:p>
    <w:p w14:paraId="35E7D47B">
      <w:pPr>
        <w:pStyle w:val="25"/>
        <w:numPr>
          <w:ilvl w:val="0"/>
          <w:numId w:val="7"/>
        </w:numPr>
        <w:spacing w:before="80" w:after="80" w:line="360" w:lineRule="auto"/>
        <w:ind w:left="0" w:leftChars="0" w:firstLine="454" w:firstLineChars="0"/>
        <w:rPr>
          <w:rFonts w:hint="eastAsia" w:ascii="仿宋" w:hAnsi="仿宋" w:eastAsia="仿宋" w:cs="仿宋"/>
          <w:sz w:val="28"/>
          <w:szCs w:val="28"/>
        </w:rPr>
      </w:pPr>
      <w:r>
        <w:rPr>
          <w:rFonts w:hint="eastAsia" w:ascii="仿宋" w:hAnsi="仿宋" w:eastAsia="仿宋" w:cs="仿宋"/>
          <w:sz w:val="28"/>
          <w:szCs w:val="28"/>
        </w:rPr>
        <w:t>医嘱处方信息接口：完善住院医嘱和门诊处方的项目编码、项目名称、开嘱时间、剂量、剂量单位等字段。</w:t>
      </w:r>
    </w:p>
    <w:p w14:paraId="4DF1B674">
      <w:pPr>
        <w:pStyle w:val="25"/>
        <w:numPr>
          <w:ilvl w:val="0"/>
          <w:numId w:val="7"/>
        </w:numPr>
        <w:spacing w:before="80" w:after="80" w:line="360" w:lineRule="auto"/>
        <w:ind w:left="0" w:leftChars="0" w:firstLine="454" w:firstLineChars="0"/>
        <w:rPr>
          <w:rFonts w:hint="eastAsia" w:ascii="仿宋" w:hAnsi="仿宋" w:eastAsia="仿宋" w:cs="仿宋"/>
          <w:sz w:val="28"/>
          <w:szCs w:val="28"/>
        </w:rPr>
      </w:pPr>
      <w:r>
        <w:rPr>
          <w:rFonts w:hint="eastAsia" w:ascii="仿宋" w:hAnsi="仿宋" w:eastAsia="仿宋" w:cs="仿宋"/>
          <w:sz w:val="28"/>
          <w:szCs w:val="28"/>
        </w:rPr>
        <w:t>电子病历接口：规范病历内容文本和科室编码的采集，确保病历内容完整可读。</w:t>
      </w:r>
    </w:p>
    <w:p w14:paraId="47569938">
      <w:pPr>
        <w:spacing w:before="200" w:after="100"/>
        <w:rPr>
          <w:rFonts w:hint="eastAsia" w:ascii="仿宋" w:hAnsi="仿宋" w:eastAsia="仿宋" w:cs="仿宋"/>
          <w:sz w:val="28"/>
          <w:szCs w:val="28"/>
        </w:rPr>
      </w:pP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医院接口改造对接</w:t>
      </w:r>
    </w:p>
    <w:p w14:paraId="4468720D">
      <w:pPr>
        <w:spacing w:before="80" w:after="80"/>
        <w:ind w:firstLine="500" w:firstLineChars="0"/>
        <w:rPr>
          <w:rFonts w:hint="eastAsia" w:ascii="仿宋" w:hAnsi="仿宋" w:eastAsia="仿宋" w:cs="仿宋"/>
          <w:sz w:val="28"/>
          <w:szCs w:val="28"/>
        </w:rPr>
      </w:pPr>
      <w:r>
        <w:rPr>
          <w:rFonts w:hint="eastAsia" w:ascii="仿宋" w:hAnsi="仿宋" w:eastAsia="仿宋" w:cs="仿宋"/>
          <w:sz w:val="28"/>
          <w:szCs w:val="28"/>
        </w:rPr>
        <w:t>根据《国家传染病智能监测预警前置软件数据集成和API接口规范》要求，配合医疗机构完成以下接口的改造与对接工作：</w:t>
      </w:r>
    </w:p>
    <w:tbl>
      <w:tblPr>
        <w:tblStyle w:val="20"/>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21"/>
        <w:gridCol w:w="2861"/>
        <w:gridCol w:w="4526"/>
      </w:tblGrid>
      <w:tr w14:paraId="76DD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21" w:type="dxa"/>
            <w:tcBorders>
              <w:top w:val="single" w:color="666666" w:sz="0" w:space="0"/>
              <w:left w:val="single" w:color="666666" w:sz="0" w:space="0"/>
              <w:bottom w:val="single" w:color="666666" w:sz="0" w:space="0"/>
              <w:right w:val="single" w:color="666666" w:sz="0" w:space="0"/>
            </w:tcBorders>
            <w:shd w:val="clear" w:color="auto" w:fill="1F4E79"/>
            <w:noWrap w:val="0"/>
            <w:tcMar>
              <w:top w:w="80" w:type="dxa"/>
              <w:left w:w="120" w:type="dxa"/>
              <w:bottom w:w="80" w:type="dxa"/>
              <w:right w:w="120" w:type="dxa"/>
            </w:tcMar>
            <w:vAlign w:val="top"/>
          </w:tcPr>
          <w:p w14:paraId="5A6CB19C">
            <w:pPr>
              <w:jc w:val="center"/>
              <w:rPr>
                <w:rFonts w:hint="eastAsia" w:ascii="仿宋" w:hAnsi="仿宋" w:eastAsia="仿宋" w:cs="仿宋"/>
                <w:sz w:val="28"/>
                <w:szCs w:val="28"/>
              </w:rPr>
            </w:pPr>
            <w:r>
              <w:rPr>
                <w:rFonts w:hint="eastAsia" w:ascii="仿宋" w:hAnsi="仿宋" w:eastAsia="仿宋" w:cs="仿宋"/>
                <w:b/>
                <w:bCs/>
                <w:color w:val="FFFFFF"/>
                <w:sz w:val="28"/>
                <w:szCs w:val="28"/>
              </w:rPr>
              <w:t>接口类别</w:t>
            </w:r>
          </w:p>
        </w:tc>
        <w:tc>
          <w:tcPr>
            <w:tcW w:w="2861" w:type="dxa"/>
            <w:tcBorders>
              <w:top w:val="single" w:color="666666" w:sz="0" w:space="0"/>
              <w:left w:val="single" w:color="666666" w:sz="0" w:space="0"/>
              <w:bottom w:val="single" w:color="666666" w:sz="0" w:space="0"/>
              <w:right w:val="single" w:color="666666" w:sz="0" w:space="0"/>
            </w:tcBorders>
            <w:shd w:val="clear" w:color="auto" w:fill="1F4E79"/>
            <w:noWrap w:val="0"/>
            <w:tcMar>
              <w:top w:w="80" w:type="dxa"/>
              <w:left w:w="120" w:type="dxa"/>
              <w:bottom w:w="80" w:type="dxa"/>
              <w:right w:w="120" w:type="dxa"/>
            </w:tcMar>
            <w:vAlign w:val="top"/>
          </w:tcPr>
          <w:p w14:paraId="0E548F5B">
            <w:pPr>
              <w:jc w:val="center"/>
              <w:rPr>
                <w:rFonts w:hint="eastAsia" w:ascii="仿宋" w:hAnsi="仿宋" w:eastAsia="仿宋" w:cs="仿宋"/>
                <w:sz w:val="28"/>
                <w:szCs w:val="28"/>
              </w:rPr>
            </w:pPr>
            <w:r>
              <w:rPr>
                <w:rFonts w:hint="eastAsia" w:ascii="仿宋" w:hAnsi="仿宋" w:eastAsia="仿宋" w:cs="仿宋"/>
                <w:b/>
                <w:bCs/>
                <w:color w:val="FFFFFF"/>
                <w:sz w:val="28"/>
                <w:szCs w:val="28"/>
              </w:rPr>
              <w:t>改造内容</w:t>
            </w:r>
          </w:p>
        </w:tc>
        <w:tc>
          <w:tcPr>
            <w:tcW w:w="4526" w:type="dxa"/>
            <w:tcBorders>
              <w:top w:val="single" w:color="666666" w:sz="0" w:space="0"/>
              <w:left w:val="single" w:color="666666" w:sz="0" w:space="0"/>
              <w:bottom w:val="single" w:color="666666" w:sz="0" w:space="0"/>
              <w:right w:val="single" w:color="666666" w:sz="0" w:space="0"/>
            </w:tcBorders>
            <w:shd w:val="clear" w:color="auto" w:fill="1F4E79"/>
            <w:noWrap w:val="0"/>
            <w:tcMar>
              <w:top w:w="80" w:type="dxa"/>
              <w:left w:w="120" w:type="dxa"/>
              <w:bottom w:w="80" w:type="dxa"/>
              <w:right w:w="120" w:type="dxa"/>
            </w:tcMar>
            <w:vAlign w:val="top"/>
          </w:tcPr>
          <w:p w14:paraId="32B7F8FC">
            <w:pPr>
              <w:jc w:val="center"/>
              <w:rPr>
                <w:rFonts w:hint="eastAsia" w:ascii="仿宋" w:hAnsi="仿宋" w:eastAsia="仿宋" w:cs="仿宋"/>
                <w:sz w:val="28"/>
                <w:szCs w:val="28"/>
              </w:rPr>
            </w:pPr>
            <w:r>
              <w:rPr>
                <w:rFonts w:hint="eastAsia" w:ascii="仿宋" w:hAnsi="仿宋" w:eastAsia="仿宋" w:cs="仿宋"/>
                <w:b/>
                <w:bCs/>
                <w:color w:val="FFFFFF"/>
                <w:sz w:val="28"/>
                <w:szCs w:val="28"/>
              </w:rPr>
              <w:t>字段要求</w:t>
            </w:r>
          </w:p>
        </w:tc>
      </w:tr>
      <w:tr w14:paraId="3161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56" w:hRule="atLeast"/>
        </w:trPr>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714BAC33">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住院患者信息</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476E79B0">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完善患者基本信息采集</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0D121B44">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SEX, BIRTHDAY, GJ, ADDRESS, NATION等15+字段</w:t>
            </w:r>
          </w:p>
        </w:tc>
      </w:tr>
      <w:tr w14:paraId="7105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24DCF46E">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门诊患者信息</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27B4AFEB">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补充门诊患者信息字段</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5619A4AB">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SEX, BIRTHDAY, GJ, ADDRESS, NATION等13+字段</w:t>
            </w:r>
          </w:p>
        </w:tc>
      </w:tr>
      <w:tr w14:paraId="5A60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229D2BA2">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住院诊断信息</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66D4DD49">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规范ICD-10诊断编码对接</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51EFA1D2">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ZDCODE(ICD-10), ZDNAME</w:t>
            </w:r>
          </w:p>
        </w:tc>
      </w:tr>
      <w:tr w14:paraId="702D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4C99C2A6">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门诊诊断信息</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0A61A87D">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诊断类型与ICD编码对接</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68366D6B">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ZDLXNAME, ZDCODE, ZDNAME</w:t>
            </w:r>
          </w:p>
        </w:tc>
      </w:tr>
      <w:tr w14:paraId="4DFE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283A3A79">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住院医嘱信息</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28E37E06">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对接住院医嘱明细接口</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24885455">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COSTCODE, COSTNAME, BEGINTIME, DOSAGE, DOSAGEUNIT</w:t>
            </w:r>
          </w:p>
        </w:tc>
      </w:tr>
      <w:tr w14:paraId="3D0A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4EA96D50">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门诊处方信息</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1B63491D">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对接门诊处方明细接口</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04EC4326">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COSTCODE, COSTNAME, BEGINTIME, DOSAGE, DOSAGEUNIT</w:t>
            </w:r>
          </w:p>
        </w:tc>
      </w:tr>
      <w:tr w14:paraId="0CAA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1CA65E4A">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住院电子病历</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779FE4D3">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规范病历文本内容采集</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4EE36FD3">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CONTENT_TEXT(TEXT), DEPTCODE</w:t>
            </w:r>
          </w:p>
        </w:tc>
      </w:tr>
      <w:tr w14:paraId="3404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7C9203A2">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门诊电子病历</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54B35E68">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规范门诊病历内容采集</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7A3F6F07">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CONTENT_TEXT(TEXT), DEPTCODE</w:t>
            </w:r>
          </w:p>
        </w:tc>
      </w:tr>
      <w:tr w14:paraId="5A72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34C16626">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检验信息</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1E67C60F">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规范检验项目编码与名称</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29835C4A">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CODE(N&lt;=20), NAME, SENDDEPTCODE, SENDDATE</w:t>
            </w:r>
          </w:p>
        </w:tc>
      </w:tr>
      <w:tr w14:paraId="2E45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73CB3609">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检验结果</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4E8A14DC">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完善检验结果判定信息</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5F827F7A">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TESTRESULT, JYJGFL, JYJGZT, DLJG</w:t>
            </w:r>
          </w:p>
        </w:tc>
      </w:tr>
      <w:tr w14:paraId="2D4A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2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3235E9BB">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影像检查信息</w:t>
            </w:r>
          </w:p>
        </w:tc>
        <w:tc>
          <w:tcPr>
            <w:tcW w:w="2861"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70B0F82A">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规范检查报告描述与结论</w:t>
            </w:r>
          </w:p>
        </w:tc>
        <w:tc>
          <w:tcPr>
            <w:tcW w:w="4526" w:type="dxa"/>
            <w:tcBorders>
              <w:top w:val="single" w:color="666666" w:sz="0" w:space="0"/>
              <w:left w:val="single" w:color="666666" w:sz="0" w:space="0"/>
              <w:bottom w:val="single" w:color="666666" w:sz="0" w:space="0"/>
              <w:right w:val="single" w:color="666666" w:sz="0" w:space="0"/>
            </w:tcBorders>
            <w:shd w:val="clear" w:color="auto" w:fill="FFFFFF"/>
            <w:noWrap w:val="0"/>
            <w:tcMar>
              <w:top w:w="80" w:type="dxa"/>
              <w:left w:w="120" w:type="dxa"/>
              <w:bottom w:w="80" w:type="dxa"/>
              <w:right w:w="120" w:type="dxa"/>
            </w:tcMar>
            <w:vAlign w:val="top"/>
          </w:tcPr>
          <w:p w14:paraId="0A26DFD3">
            <w:pPr>
              <w:jc w:val="left"/>
              <w:rPr>
                <w:rFonts w:hint="eastAsia" w:ascii="仿宋" w:hAnsi="仿宋" w:eastAsia="仿宋" w:cs="仿宋"/>
                <w:sz w:val="28"/>
                <w:szCs w:val="28"/>
              </w:rPr>
            </w:pPr>
            <w:r>
              <w:rPr>
                <w:rFonts w:hint="eastAsia" w:ascii="仿宋" w:hAnsi="仿宋" w:eastAsia="仿宋" w:cs="仿宋"/>
                <w:b w:val="0"/>
                <w:bCs w:val="0"/>
                <w:color w:val="000000"/>
                <w:sz w:val="28"/>
                <w:szCs w:val="28"/>
              </w:rPr>
              <w:t>NO, TYPE, DEPTCODE, DESCRIPTION, IMPRESSION</w:t>
            </w:r>
          </w:p>
        </w:tc>
      </w:tr>
    </w:tbl>
    <w:p w14:paraId="46E30C87">
      <w:pPr>
        <w:spacing w:before="200" w:after="100"/>
        <w:rPr>
          <w:rFonts w:hint="eastAsia" w:ascii="仿宋" w:hAnsi="仿宋" w:eastAsia="仿宋" w:cs="仿宋"/>
          <w:sz w:val="28"/>
          <w:szCs w:val="28"/>
        </w:rPr>
      </w:pP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数据采集与上报机制优化</w:t>
      </w:r>
    </w:p>
    <w:p w14:paraId="084F20BB">
      <w:pPr>
        <w:pStyle w:val="25"/>
        <w:numPr>
          <w:ilvl w:val="0"/>
          <w:numId w:val="7"/>
        </w:numPr>
        <w:spacing w:before="80" w:after="80" w:line="360" w:lineRule="auto"/>
        <w:ind w:left="0" w:leftChars="0" w:firstLine="454" w:firstLineChars="0"/>
        <w:rPr>
          <w:rFonts w:hint="eastAsia" w:ascii="仿宋" w:hAnsi="仿宋" w:eastAsia="仿宋" w:cs="仿宋"/>
          <w:sz w:val="28"/>
          <w:szCs w:val="28"/>
        </w:rPr>
      </w:pPr>
      <w:r>
        <w:rPr>
          <w:rFonts w:hint="eastAsia" w:ascii="仿宋" w:hAnsi="仿宋" w:eastAsia="仿宋" w:cs="仿宋"/>
          <w:sz w:val="28"/>
          <w:szCs w:val="28"/>
        </w:rPr>
        <w:t>建立实时数据采集机制：优化前置软件与HIS系统的数据同步，确保T+0数据及时采集并上报至区域平台（地址：https://59.255.31.78:8888）。</w:t>
      </w:r>
    </w:p>
    <w:p w14:paraId="7EB9B9D9">
      <w:pPr>
        <w:pStyle w:val="25"/>
        <w:numPr>
          <w:ilvl w:val="0"/>
          <w:numId w:val="7"/>
        </w:numPr>
        <w:spacing w:before="80" w:after="80" w:line="360" w:lineRule="auto"/>
        <w:ind w:left="0" w:leftChars="0" w:firstLine="454" w:firstLineChars="0"/>
        <w:rPr>
          <w:rFonts w:hint="eastAsia" w:ascii="仿宋" w:hAnsi="仿宋" w:eastAsia="仿宋" w:cs="仿宋"/>
          <w:sz w:val="28"/>
          <w:szCs w:val="28"/>
        </w:rPr>
      </w:pPr>
      <w:r>
        <w:rPr>
          <w:rFonts w:hint="eastAsia" w:ascii="仿宋" w:hAnsi="仿宋" w:eastAsia="仿宋" w:cs="仿宋"/>
          <w:sz w:val="28"/>
          <w:szCs w:val="28"/>
        </w:rPr>
        <w:t>完善数据质量核查规则：在前置软件中嵌入数据质量核查模块，对关键字段进行自动校验，及时发现并提示数据缺失问题。</w:t>
      </w:r>
    </w:p>
    <w:p w14:paraId="2A1B3828">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（二）医院感染信息管理系统维护服务</w:t>
      </w:r>
    </w:p>
    <w:p w14:paraId="5E906C36">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1、</w:t>
      </w:r>
      <w:r>
        <w:rPr>
          <w:rFonts w:hint="eastAsia" w:ascii="仿宋" w:hAnsi="仿宋" w:eastAsia="仿宋" w:cs="仿宋"/>
          <w:b/>
          <w:bCs w:val="0"/>
          <w:sz w:val="28"/>
          <w:szCs w:val="28"/>
        </w:rPr>
        <w:t>软件运行维护</w:t>
      </w:r>
      <w:r>
        <w:rPr>
          <w:rFonts w:hint="eastAsia" w:ascii="仿宋" w:hAnsi="仿宋" w:eastAsia="仿宋" w:cs="仿宋"/>
          <w:b/>
          <w:bCs w:val="0"/>
          <w:sz w:val="28"/>
          <w:szCs w:val="28"/>
          <w:lang w:val="en-US" w:eastAsia="zh-CN"/>
        </w:rPr>
        <w:t>需求</w:t>
      </w:r>
    </w:p>
    <w:p w14:paraId="0FD1F6C4">
      <w:pPr>
        <w:pStyle w:val="28"/>
        <w:numPr>
          <w:ilvl w:val="0"/>
          <w:numId w:val="0"/>
        </w:num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组织实施</w:t>
      </w:r>
      <w:r>
        <w:rPr>
          <w:rFonts w:hint="eastAsia" w:ascii="仿宋" w:hAnsi="仿宋" w:eastAsia="仿宋" w:cs="仿宋"/>
          <w:sz w:val="28"/>
          <w:szCs w:val="28"/>
          <w:lang w:val="en-US" w:eastAsia="zh-CN"/>
        </w:rPr>
        <w:t>软件（模块见附件）定期排查服务(一年不低于4次)，保障稳定运行</w:t>
      </w:r>
      <w:r>
        <w:rPr>
          <w:rFonts w:hint="eastAsia" w:ascii="仿宋" w:hAnsi="仿宋" w:eastAsia="仿宋" w:cs="仿宋"/>
          <w:sz w:val="28"/>
          <w:szCs w:val="28"/>
        </w:rPr>
        <w:t>；</w:t>
      </w:r>
    </w:p>
    <w:p w14:paraId="281C63E1">
      <w:pPr>
        <w:pStyle w:val="28"/>
        <w:numPr>
          <w:ilvl w:val="0"/>
          <w:numId w:val="0"/>
        </w:numPr>
        <w:spacing w:line="360" w:lineRule="auto"/>
        <w:ind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提供对相关人员的技术培训服务</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对系统不熟悉的业务科室进行指导培训</w:t>
      </w:r>
      <w:r>
        <w:rPr>
          <w:rFonts w:hint="eastAsia" w:ascii="仿宋" w:hAnsi="仿宋" w:eastAsia="仿宋" w:cs="仿宋"/>
          <w:sz w:val="28"/>
          <w:szCs w:val="28"/>
        </w:rPr>
        <w:t>；</w:t>
      </w:r>
    </w:p>
    <w:p w14:paraId="2BE2F929">
      <w:pPr>
        <w:pStyle w:val="28"/>
        <w:numPr>
          <w:ilvl w:val="0"/>
          <w:numId w:val="0"/>
        </w:numPr>
        <w:spacing w:line="360" w:lineRule="auto"/>
        <w:ind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负责做好信息化系统安全技术</w:t>
      </w:r>
      <w:r>
        <w:rPr>
          <w:rFonts w:hint="eastAsia" w:ascii="仿宋" w:hAnsi="仿宋" w:eastAsia="仿宋" w:cs="仿宋"/>
          <w:sz w:val="28"/>
          <w:szCs w:val="28"/>
          <w:lang w:eastAsia="zh-CN"/>
        </w:rPr>
        <w:t>，</w:t>
      </w:r>
      <w:r>
        <w:rPr>
          <w:rFonts w:hint="eastAsia" w:ascii="仿宋" w:hAnsi="仿宋" w:eastAsia="仿宋" w:cs="仿宋"/>
          <w:sz w:val="28"/>
          <w:szCs w:val="28"/>
        </w:rPr>
        <w:t>保障值班工作及重大活动期间的现场技术保障服务；</w:t>
      </w:r>
    </w:p>
    <w:p w14:paraId="0AEC5D51">
      <w:pPr>
        <w:pStyle w:val="28"/>
        <w:numPr>
          <w:ilvl w:val="0"/>
          <w:numId w:val="0"/>
        </w:numPr>
        <w:spacing w:line="360" w:lineRule="auto"/>
        <w:ind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提供软件（模块）在运行中的故障带来的排错工作，解决系统运行故障</w:t>
      </w:r>
      <w:r>
        <w:rPr>
          <w:rFonts w:hint="eastAsia" w:ascii="仿宋" w:hAnsi="仿宋" w:eastAsia="仿宋" w:cs="仿宋"/>
          <w:sz w:val="28"/>
          <w:szCs w:val="28"/>
          <w:lang w:eastAsia="zh-CN"/>
        </w:rPr>
        <w:t>，软件故障发生后1小时内响应与修复</w:t>
      </w:r>
      <w:r>
        <w:rPr>
          <w:rFonts w:hint="eastAsia" w:ascii="仿宋" w:hAnsi="仿宋" w:eastAsia="仿宋" w:cs="仿宋"/>
          <w:sz w:val="28"/>
          <w:szCs w:val="28"/>
        </w:rPr>
        <w:t>。</w:t>
      </w:r>
    </w:p>
    <w:p w14:paraId="6C344429">
      <w:pPr>
        <w:pStyle w:val="28"/>
        <w:numPr>
          <w:ilvl w:val="0"/>
          <w:numId w:val="0"/>
        </w:numPr>
        <w:spacing w:line="360" w:lineRule="auto"/>
        <w:ind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提供软件（模块）与</w:t>
      </w:r>
      <w:r>
        <w:rPr>
          <w:rFonts w:hint="eastAsia" w:ascii="仿宋" w:hAnsi="仿宋" w:eastAsia="仿宋" w:cs="仿宋"/>
          <w:sz w:val="28"/>
          <w:szCs w:val="28"/>
          <w:lang w:val="en-US" w:eastAsia="zh-CN"/>
        </w:rPr>
        <w:t>其他</w:t>
      </w:r>
      <w:r>
        <w:rPr>
          <w:rFonts w:hint="eastAsia" w:ascii="仿宋" w:hAnsi="仿宋" w:eastAsia="仿宋" w:cs="仿宋"/>
          <w:sz w:val="28"/>
          <w:szCs w:val="28"/>
        </w:rPr>
        <w:t>系统软件及数据库系统适配带来的调整工作。</w:t>
      </w:r>
    </w:p>
    <w:p w14:paraId="15B28794">
      <w:pPr>
        <w:pStyle w:val="28"/>
        <w:numPr>
          <w:ilvl w:val="0"/>
          <w:numId w:val="0"/>
        </w:numPr>
        <w:spacing w:line="360" w:lineRule="auto"/>
        <w:ind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因操作失误造成的数据混乱</w:t>
      </w:r>
      <w:r>
        <w:rPr>
          <w:rFonts w:hint="eastAsia" w:ascii="仿宋" w:hAnsi="仿宋" w:eastAsia="仿宋" w:cs="仿宋"/>
          <w:sz w:val="28"/>
          <w:szCs w:val="28"/>
          <w:lang w:val="en-US" w:eastAsia="zh-CN"/>
        </w:rPr>
        <w:t>问题处理</w:t>
      </w:r>
      <w:r>
        <w:rPr>
          <w:rFonts w:hint="eastAsia" w:ascii="仿宋" w:hAnsi="仿宋" w:eastAsia="仿宋" w:cs="仿宋"/>
          <w:sz w:val="28"/>
          <w:szCs w:val="28"/>
        </w:rPr>
        <w:t>。</w:t>
      </w:r>
    </w:p>
    <w:p w14:paraId="73E0CEEA">
      <w:pPr>
        <w:pStyle w:val="28"/>
        <w:numPr>
          <w:ilvl w:val="0"/>
          <w:numId w:val="0"/>
        </w:numPr>
        <w:spacing w:line="360" w:lineRule="auto"/>
        <w:ind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需提供指导</w:t>
      </w:r>
      <w:r>
        <w:rPr>
          <w:rFonts w:hint="eastAsia" w:ascii="仿宋" w:hAnsi="仿宋" w:eastAsia="仿宋" w:cs="仿宋"/>
          <w:sz w:val="28"/>
          <w:szCs w:val="28"/>
          <w:lang w:eastAsia="zh-CN"/>
        </w:rPr>
        <w:t>甲方</w:t>
      </w:r>
      <w:r>
        <w:rPr>
          <w:rFonts w:hint="eastAsia" w:ascii="仿宋" w:hAnsi="仿宋" w:eastAsia="仿宋" w:cs="仿宋"/>
          <w:sz w:val="28"/>
          <w:szCs w:val="28"/>
        </w:rPr>
        <w:t>查明各系统不能运行的原因并解决问题。</w:t>
      </w:r>
    </w:p>
    <w:p w14:paraId="017A5EB7">
      <w:pPr>
        <w:pStyle w:val="28"/>
        <w:numPr>
          <w:ilvl w:val="0"/>
          <w:numId w:val="0"/>
        </w:numPr>
        <w:spacing w:line="360" w:lineRule="auto"/>
        <w:ind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8.系统本身存在问题或基础功能需求，要求</w:t>
      </w:r>
      <w:r>
        <w:rPr>
          <w:rFonts w:hint="eastAsia" w:ascii="仿宋" w:hAnsi="仿宋" w:eastAsia="仿宋" w:cs="仿宋"/>
          <w:sz w:val="28"/>
          <w:szCs w:val="28"/>
          <w:lang w:eastAsia="zh-CN"/>
        </w:rPr>
        <w:t>不超过一周</w:t>
      </w:r>
      <w:r>
        <w:rPr>
          <w:rFonts w:hint="eastAsia" w:ascii="仿宋" w:hAnsi="仿宋" w:eastAsia="仿宋" w:cs="仿宋"/>
          <w:sz w:val="28"/>
          <w:szCs w:val="28"/>
          <w:lang w:val="en-US" w:eastAsia="zh-CN"/>
        </w:rPr>
        <w:t>彻底解决</w:t>
      </w:r>
      <w:r>
        <w:rPr>
          <w:rFonts w:hint="eastAsia" w:ascii="仿宋" w:hAnsi="仿宋" w:eastAsia="仿宋" w:cs="仿宋"/>
          <w:sz w:val="28"/>
          <w:szCs w:val="28"/>
          <w:lang w:eastAsia="zh-CN"/>
        </w:rPr>
        <w:t>。</w:t>
      </w:r>
    </w:p>
    <w:p w14:paraId="69A70D8A">
      <w:pPr>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9.软件数据校验</w:t>
      </w:r>
    </w:p>
    <w:p w14:paraId="20403623">
      <w:pPr>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10.根据实际情况安排系统的维护、数据检查、院感科使用的情况交流以及软件功能改进意见的收集。具体要求如下：</w:t>
      </w:r>
    </w:p>
    <w:p w14:paraId="49559495">
      <w:pPr>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10.1运行环境检查</w:t>
      </w:r>
    </w:p>
    <w:p w14:paraId="0A1E1E51">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检查院感和HIS、LIS、电子病</w:t>
      </w:r>
      <w:r>
        <w:rPr>
          <w:rFonts w:hint="eastAsia" w:ascii="仿宋" w:hAnsi="仿宋" w:eastAsia="仿宋" w:cs="仿宋"/>
          <w:sz w:val="28"/>
          <w:szCs w:val="28"/>
          <w:lang w:val="en-US" w:eastAsia="zh-CN"/>
        </w:rPr>
        <w:t>历</w:t>
      </w:r>
      <w:r>
        <w:rPr>
          <w:rFonts w:hint="eastAsia" w:ascii="仿宋" w:hAnsi="仿宋" w:eastAsia="仿宋" w:cs="仿宋"/>
          <w:sz w:val="28"/>
          <w:szCs w:val="28"/>
        </w:rPr>
        <w:t>、PA</w:t>
      </w:r>
      <w:r>
        <w:rPr>
          <w:rFonts w:hint="eastAsia" w:ascii="仿宋" w:hAnsi="仿宋" w:eastAsia="仿宋" w:cs="仿宋"/>
          <w:sz w:val="28"/>
          <w:szCs w:val="28"/>
          <w:lang w:val="en-US" w:eastAsia="zh-CN"/>
        </w:rPr>
        <w:t>CS</w:t>
      </w:r>
      <w:r>
        <w:rPr>
          <w:rFonts w:hint="eastAsia" w:ascii="仿宋" w:hAnsi="仿宋" w:eastAsia="仿宋" w:cs="仿宋"/>
          <w:sz w:val="28"/>
          <w:szCs w:val="28"/>
        </w:rPr>
        <w:t>接口运行是否正常，接口数据是否正确导入。</w:t>
      </w:r>
    </w:p>
    <w:p w14:paraId="1C9974F9">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备份院感程序数据</w:t>
      </w:r>
    </w:p>
    <w:p w14:paraId="3EDF4C5A">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服务器运行情况检查（服务器垃圾清理、内存清理、各个磁盘容量检查、CPU负荷检查等</w:t>
      </w:r>
    </w:p>
    <w:p w14:paraId="0E4132A4">
      <w:pPr>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10.2数据检查</w:t>
      </w:r>
    </w:p>
    <w:p w14:paraId="11037F69">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检查院感科审核的病例是否正确</w:t>
      </w:r>
    </w:p>
    <w:p w14:paraId="6B09628B">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检查上报数据报卡是否都能正确上报数据</w:t>
      </w:r>
    </w:p>
    <w:p w14:paraId="0BAFA4F3">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检查分析院感院感相关数据的后台服务是否正常运行，运行日志是否有错误等</w:t>
      </w:r>
    </w:p>
    <w:p w14:paraId="66BFCFEA">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检查导入的出院人数信息是否和医院HIS中的出院人数一致</w:t>
      </w:r>
    </w:p>
    <w:p w14:paraId="7CCC814E">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检查病人的医嘱信息、手术信息、检验信息、电子病</w:t>
      </w:r>
      <w:r>
        <w:rPr>
          <w:rFonts w:hint="eastAsia" w:ascii="仿宋" w:hAnsi="仿宋" w:eastAsia="仿宋" w:cs="仿宋"/>
          <w:sz w:val="28"/>
          <w:szCs w:val="28"/>
          <w:lang w:val="en-US" w:eastAsia="zh-CN"/>
        </w:rPr>
        <w:t>历</w:t>
      </w:r>
      <w:r>
        <w:rPr>
          <w:rFonts w:hint="eastAsia" w:ascii="仿宋" w:hAnsi="仿宋" w:eastAsia="仿宋" w:cs="仿宋"/>
          <w:sz w:val="28"/>
          <w:szCs w:val="28"/>
        </w:rPr>
        <w:t>、体温能否正常提取和显示</w:t>
      </w:r>
    </w:p>
    <w:p w14:paraId="3D8311DC">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检查医嘱中抗菌药物使用医嘱是否正确</w:t>
      </w:r>
    </w:p>
    <w:p w14:paraId="7E4D2083">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检查医嘱中介入操作部分是否正常</w:t>
      </w:r>
    </w:p>
    <w:p w14:paraId="58EF2753">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检查病人检验信息是否正确，检查病原体、药敏单是否正确</w:t>
      </w:r>
    </w:p>
    <w:p w14:paraId="65120851">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检验系统中的科室设置是否和本院HIS中一直（如不一致，HIS进行了调整，那么软件上也要做相应的调整</w:t>
      </w:r>
    </w:p>
    <w:p w14:paraId="52E09EC7">
      <w:pPr>
        <w:spacing w:line="360" w:lineRule="auto"/>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 xml:space="preserve">   10.3数据统计验证</w:t>
      </w:r>
    </w:p>
    <w:p w14:paraId="43CC2F92">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检查按科室统计院感率是否正确</w:t>
      </w:r>
    </w:p>
    <w:p w14:paraId="4C8A59EB">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检查抗菌药物联合用药统计是否正确（符合医院其他系统统计的数据）</w:t>
      </w:r>
    </w:p>
    <w:p w14:paraId="7DCECF99">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手术切口相关统计是否正确</w:t>
      </w:r>
    </w:p>
    <w:p w14:paraId="1F10D7F9">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ICU相关统计是否正确</w:t>
      </w:r>
    </w:p>
    <w:p w14:paraId="02E38980">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高位新生儿相关统计是否正确</w:t>
      </w:r>
    </w:p>
    <w:p w14:paraId="27B44854">
      <w:pPr>
        <w:pStyle w:val="25"/>
        <w:numPr>
          <w:ilvl w:val="0"/>
          <w:numId w:val="8"/>
        </w:numPr>
        <w:spacing w:line="360" w:lineRule="auto"/>
        <w:ind w:left="420" w:leftChars="0" w:hanging="420" w:firstLineChars="0"/>
        <w:rPr>
          <w:rFonts w:hint="eastAsia" w:ascii="仿宋" w:hAnsi="仿宋" w:eastAsia="仿宋" w:cs="仿宋"/>
          <w:sz w:val="28"/>
          <w:szCs w:val="28"/>
        </w:rPr>
      </w:pPr>
      <w:r>
        <w:rPr>
          <w:rFonts w:hint="eastAsia" w:ascii="仿宋" w:hAnsi="仿宋" w:eastAsia="仿宋" w:cs="仿宋"/>
          <w:sz w:val="28"/>
          <w:szCs w:val="28"/>
        </w:rPr>
        <w:t>其他常用报表数据正确性验证</w:t>
      </w:r>
    </w:p>
    <w:p w14:paraId="2D6B6D19">
      <w:pPr>
        <w:spacing w:line="360" w:lineRule="auto"/>
        <w:ind w:firstLine="560" w:firstLineChars="200"/>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val="en-US" w:eastAsia="zh-CN" w:bidi="ar-SA"/>
        </w:rPr>
        <w:t>10.4沟通交流</w:t>
      </w:r>
    </w:p>
    <w:p w14:paraId="557F86D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指导院感科专职老师对软件的其他不熟悉的功能进行强化。和院感科沟通交流软件需要改进的项目，分享其他医院先进的管理经验给院感科。</w:t>
      </w:r>
    </w:p>
    <w:p w14:paraId="1A175174">
      <w:pPr>
        <w:pStyle w:val="28"/>
        <w:numPr>
          <w:ilvl w:val="0"/>
          <w:numId w:val="0"/>
        </w:numPr>
        <w:ind w:leftChars="0"/>
        <w:jc w:val="both"/>
        <w:rPr>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11.</w:t>
      </w:r>
      <w:r>
        <w:rPr>
          <w:rFonts w:hint="eastAsia" w:ascii="仿宋" w:hAnsi="仿宋" w:eastAsia="仿宋" w:cs="仿宋"/>
          <w:sz w:val="28"/>
          <w:szCs w:val="28"/>
          <w:lang w:val="en-US" w:eastAsia="zh-CN"/>
        </w:rPr>
        <w:t>服务响应要求。7*24小时电话响应，支持远程、电话、现场服务，如遇问题按照“问题分类和响应标准”严格执行并处理。问题分类和响应标准如下：</w:t>
      </w:r>
    </w:p>
    <w:p w14:paraId="5C1C8DB2">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①A类问题</w:t>
      </w:r>
    </w:p>
    <w:p w14:paraId="05AFCD8B">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严重影响整个系统运行，导致系统不能正常运转，业务处理错误严重且工作流程不能正常进行等。在任何时期当软件系统出现A类问题时，中标人工程师在2小时内到达现场，与采购人系统维护人员、系统使用人员一起确定问题原因，并对实际问题给出详细解决方案；4小时内处理完问题，保证系统正常运行；</w:t>
      </w:r>
    </w:p>
    <w:p w14:paraId="36F2BB06">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②B类问题</w:t>
      </w:r>
    </w:p>
    <w:p w14:paraId="64641442">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影响系统部分功能，但不会导致整个系统瘫痪，例如个别模块运行异常、性能下降或非关键业务处理错误，工作流程可能受影响但可以继续运行。当软件系统出现B类问题时，中标人工程师在4小时内到达现场，与采购人系统维护人员、系统使用人员一起确认问题原因，并对实际问题给出详细解决方案，12小时内处理完问题，保证系统正常运行；</w:t>
      </w:r>
    </w:p>
    <w:p w14:paraId="18F47F76">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③C类问题</w:t>
      </w:r>
    </w:p>
    <w:p w14:paraId="4EADFC5C">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对系统运行影响较小的问题，但为了系统日后的正常使用必须加以修改或完善；</w:t>
      </w:r>
    </w:p>
    <w:p w14:paraId="45199440">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④D类问题</w:t>
      </w:r>
    </w:p>
    <w:p w14:paraId="01B36B4C">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不属于系统错误或故障，而是用户对系统功能、操作方式的咨询，或提出的不影响当前业务运行的功能优化建议；</w:t>
      </w:r>
    </w:p>
    <w:p w14:paraId="22FB2B91">
      <w:pPr>
        <w:pStyle w:val="28"/>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⑤在服务保证期内当软件系统出现C类问题或D类问题时，中标人维护人员在接到采购人通知后的8小时内确认问题原因，在1个工作日内与医院协商出具体解决办法和时间安排，并着手按照计划进行修改，保证在2个工作日内完成问题解决。</w:t>
      </w:r>
    </w:p>
    <w:p w14:paraId="3F05F607">
      <w:pPr>
        <w:pStyle w:val="28"/>
        <w:spacing w:line="360" w:lineRule="auto"/>
        <w:ind w:left="0" w:leftChars="0"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服务期内，配合医院的个性化需求开发及程序、流程设计优化，软件开发部分现场需求调研时需派1名运维工程师来院配合调研讨论需求的必要性及可实施性，以保证需求的合理及降低开发的反复性，且需与医院协定好时间安排，且需严格按照时间节点按期完成软件修改。</w:t>
      </w:r>
    </w:p>
    <w:p w14:paraId="4C315C7D">
      <w:pPr>
        <w:pStyle w:val="28"/>
        <w:spacing w:line="360" w:lineRule="auto"/>
        <w:ind w:left="0" w:leftChars="0"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提供驻场值守服务，提供临时增派人手协助完成临时任务，保障正常运行；</w:t>
      </w:r>
    </w:p>
    <w:p w14:paraId="065A8282">
      <w:pPr>
        <w:pStyle w:val="28"/>
        <w:spacing w:line="360" w:lineRule="auto"/>
        <w:ind w:left="0" w:leftChars="0"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所有维保服务均填写维保服务记录表，记录内容包括：服务发起、方法、过程和处理结果</w:t>
      </w:r>
      <w:r>
        <w:rPr>
          <w:rFonts w:hint="eastAsia" w:ascii="仿宋" w:hAnsi="仿宋" w:eastAsia="仿宋" w:cs="仿宋"/>
          <w:sz w:val="28"/>
          <w:szCs w:val="28"/>
          <w:lang w:eastAsia="zh-CN"/>
        </w:rPr>
        <w:t>。</w:t>
      </w:r>
    </w:p>
    <w:p w14:paraId="5FC8AC2C">
      <w:pPr>
        <w:pStyle w:val="28"/>
        <w:spacing w:line="360" w:lineRule="auto"/>
        <w:ind w:left="0" w:leftChars="0"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w:t>
      </w:r>
      <w:r>
        <w:rPr>
          <w:rFonts w:hint="eastAsia" w:ascii="仿宋" w:hAnsi="仿宋" w:eastAsia="仿宋" w:cs="仿宋"/>
          <w:sz w:val="28"/>
          <w:szCs w:val="28"/>
        </w:rPr>
        <w:t>建立回退机制，确保风险可控的情况下进行故障修复。若因故实施失败，亦可通过回退机制恢复服务。通过规范化的处理故障的过程管理，将保证甲方各类数据的安全。</w:t>
      </w:r>
    </w:p>
    <w:p w14:paraId="7A19C597">
      <w:pPr>
        <w:pStyle w:val="5"/>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w:t>
      </w:r>
      <w:r>
        <w:rPr>
          <w:rFonts w:hint="eastAsia" w:ascii="仿宋" w:hAnsi="仿宋" w:eastAsia="仿宋" w:cs="仿宋"/>
          <w:sz w:val="28"/>
          <w:szCs w:val="28"/>
        </w:rPr>
        <w:t>服务结束后，需对服务情况进行总结和评估。</w:t>
      </w:r>
    </w:p>
    <w:p w14:paraId="7023EA4A">
      <w:pPr>
        <w:spacing w:line="360" w:lineRule="auto"/>
        <w:jc w:val="left"/>
        <w:rPr>
          <w:rFonts w:hint="eastAsia" w:ascii="仿宋" w:hAnsi="仿宋" w:eastAsia="仿宋" w:cs="仿宋"/>
          <w:b/>
          <w:color w:val="auto"/>
          <w:kern w:val="2"/>
          <w:sz w:val="32"/>
          <w:szCs w:val="32"/>
          <w:lang w:val="en-US" w:eastAsia="zh-CN" w:bidi="ar-SA"/>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32"/>
          <w:szCs w:val="32"/>
          <w:highlight w:val="none"/>
          <w:lang w:val="en-US" w:eastAsia="zh-CN"/>
        </w:rPr>
        <w:t>二</w:t>
      </w:r>
      <w:r>
        <w:rPr>
          <w:rFonts w:hint="eastAsia" w:ascii="仿宋" w:hAnsi="仿宋" w:eastAsia="仿宋" w:cs="仿宋"/>
          <w:b/>
          <w:color w:val="auto"/>
          <w:kern w:val="2"/>
          <w:sz w:val="32"/>
          <w:szCs w:val="32"/>
          <w:lang w:val="en-US" w:eastAsia="zh-CN" w:bidi="ar-SA"/>
        </w:rPr>
        <w:t>、商务及其他要求</w:t>
      </w:r>
    </w:p>
    <w:p w14:paraId="60C1EAC7">
      <w:pPr>
        <w:pStyle w:val="5"/>
        <w:numPr>
          <w:ilvl w:val="0"/>
          <w:numId w:val="9"/>
        </w:numPr>
        <w:ind w:firstLine="0" w:firstLineChars="0"/>
        <w:rPr>
          <w:rFonts w:hint="eastAsia" w:ascii="仿宋" w:hAnsi="仿宋" w:eastAsia="仿宋" w:cs="仿宋"/>
          <w:b/>
          <w:color w:val="auto"/>
          <w:kern w:val="2"/>
          <w:sz w:val="32"/>
          <w:szCs w:val="32"/>
          <w:lang w:val="en-US" w:eastAsia="zh-CN" w:bidi="ar-SA"/>
        </w:rPr>
      </w:pPr>
      <w:r>
        <w:rPr>
          <w:rFonts w:hint="eastAsia" w:ascii="仿宋" w:hAnsi="仿宋" w:eastAsia="仿宋" w:cs="仿宋"/>
          <w:b/>
          <w:color w:val="auto"/>
          <w:kern w:val="2"/>
          <w:sz w:val="32"/>
          <w:szCs w:val="32"/>
          <w:lang w:val="en-US" w:eastAsia="zh-CN" w:bidi="ar-SA"/>
        </w:rPr>
        <w:t>服务期限：</w:t>
      </w:r>
      <w:r>
        <w:rPr>
          <w:rFonts w:hint="eastAsia" w:ascii="仿宋" w:hAnsi="仿宋" w:eastAsia="仿宋" w:cs="仿宋"/>
          <w:b w:val="0"/>
          <w:bCs/>
          <w:color w:val="auto"/>
          <w:kern w:val="2"/>
          <w:sz w:val="32"/>
          <w:szCs w:val="32"/>
          <w:lang w:val="en-US" w:eastAsia="zh-CN" w:bidi="ar-SA"/>
        </w:rPr>
        <w:t>一年</w:t>
      </w:r>
      <w:r>
        <w:rPr>
          <w:rFonts w:hint="eastAsia" w:ascii="仿宋" w:hAnsi="仿宋" w:eastAsia="仿宋" w:cs="仿宋"/>
          <w:b/>
          <w:color w:val="auto"/>
          <w:kern w:val="2"/>
          <w:sz w:val="32"/>
          <w:szCs w:val="32"/>
          <w:lang w:val="en-US" w:eastAsia="zh-CN" w:bidi="ar-SA"/>
        </w:rPr>
        <w:t>。</w:t>
      </w:r>
    </w:p>
    <w:p w14:paraId="26BD10C6">
      <w:pPr>
        <w:pStyle w:val="5"/>
        <w:numPr>
          <w:ilvl w:val="0"/>
          <w:numId w:val="9"/>
        </w:numPr>
        <w:ind w:firstLine="0" w:firstLineChars="0"/>
        <w:rPr>
          <w:rFonts w:hint="eastAsia" w:ascii="仿宋" w:hAnsi="仿宋" w:eastAsia="仿宋" w:cs="仿宋"/>
          <w:sz w:val="28"/>
          <w:szCs w:val="28"/>
        </w:rPr>
      </w:pPr>
      <w:r>
        <w:rPr>
          <w:rFonts w:hint="eastAsia" w:ascii="仿宋" w:hAnsi="仿宋" w:eastAsia="仿宋" w:cs="仿宋"/>
          <w:b/>
          <w:color w:val="auto"/>
          <w:kern w:val="2"/>
          <w:sz w:val="32"/>
          <w:szCs w:val="32"/>
          <w:lang w:val="en-US" w:eastAsia="zh-CN" w:bidi="ar-SA"/>
        </w:rPr>
        <w:t>服务地点：</w:t>
      </w:r>
      <w:r>
        <w:rPr>
          <w:rFonts w:hint="eastAsia" w:ascii="仿宋" w:hAnsi="仿宋" w:eastAsia="仿宋" w:cs="仿宋"/>
          <w:sz w:val="28"/>
          <w:szCs w:val="28"/>
          <w:lang w:val="en-US" w:eastAsia="zh-CN"/>
        </w:rPr>
        <w:t>成都市新津区中医医院徐家渡院区、模范街院区。</w:t>
      </w:r>
    </w:p>
    <w:p w14:paraId="4D067CDF">
      <w:pPr>
        <w:pStyle w:val="5"/>
        <w:numPr>
          <w:ilvl w:val="0"/>
          <w:numId w:val="9"/>
        </w:numPr>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人员需</w:t>
      </w:r>
      <w:r>
        <w:rPr>
          <w:rFonts w:hint="eastAsia" w:ascii="仿宋" w:hAnsi="仿宋" w:eastAsia="仿宋" w:cs="仿宋"/>
          <w:sz w:val="28"/>
          <w:szCs w:val="28"/>
        </w:rPr>
        <w:t>指派一名</w:t>
      </w:r>
      <w:r>
        <w:rPr>
          <w:rFonts w:hint="eastAsia" w:ascii="仿宋" w:hAnsi="仿宋" w:eastAsia="仿宋" w:cs="仿宋"/>
          <w:sz w:val="28"/>
          <w:szCs w:val="28"/>
          <w:lang w:val="en-US" w:eastAsia="zh-CN"/>
        </w:rPr>
        <w:t>服务</w:t>
      </w:r>
      <w:r>
        <w:rPr>
          <w:rFonts w:hint="eastAsia" w:ascii="仿宋" w:hAnsi="仿宋" w:eastAsia="仿宋" w:cs="仿宋"/>
          <w:sz w:val="28"/>
          <w:szCs w:val="28"/>
        </w:rPr>
        <w:t>经理，负责运维保障总体协调、技术支持、编制起草各类文件；</w:t>
      </w:r>
    </w:p>
    <w:p w14:paraId="7888F6AC">
      <w:pPr>
        <w:pStyle w:val="5"/>
        <w:numPr>
          <w:ilvl w:val="0"/>
          <w:numId w:val="0"/>
        </w:numPr>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4.</w:t>
      </w:r>
      <w:r>
        <w:rPr>
          <w:rFonts w:hint="eastAsia" w:ascii="仿宋" w:hAnsi="仿宋" w:eastAsia="仿宋" w:cs="仿宋"/>
          <w:b w:val="0"/>
          <w:bCs/>
          <w:sz w:val="28"/>
          <w:szCs w:val="28"/>
        </w:rPr>
        <w:t>运维服务文档要求</w:t>
      </w:r>
    </w:p>
    <w:p w14:paraId="7858B628">
      <w:pPr>
        <w:pStyle w:val="28"/>
        <w:numPr>
          <w:ilvl w:val="0"/>
          <w:numId w:val="2"/>
        </w:numPr>
        <w:spacing w:line="360" w:lineRule="auto"/>
        <w:ind w:left="845" w:leftChars="0" w:hanging="425" w:firstLineChars="0"/>
        <w:rPr>
          <w:rFonts w:hint="eastAsia" w:ascii="仿宋" w:hAnsi="仿宋" w:eastAsia="仿宋" w:cs="仿宋"/>
          <w:sz w:val="28"/>
          <w:szCs w:val="28"/>
        </w:rPr>
      </w:pPr>
      <w:r>
        <w:rPr>
          <w:rFonts w:hint="eastAsia" w:ascii="仿宋" w:hAnsi="仿宋" w:eastAsia="仿宋" w:cs="仿宋"/>
          <w:sz w:val="28"/>
          <w:szCs w:val="28"/>
        </w:rPr>
        <w:t>系统巡检报告；</w:t>
      </w:r>
    </w:p>
    <w:p w14:paraId="7D70A0FA">
      <w:pPr>
        <w:pStyle w:val="28"/>
        <w:numPr>
          <w:ilvl w:val="0"/>
          <w:numId w:val="2"/>
        </w:numPr>
        <w:spacing w:line="360" w:lineRule="auto"/>
        <w:ind w:left="845" w:leftChars="0" w:hanging="425" w:firstLineChars="0"/>
        <w:rPr>
          <w:rFonts w:hint="eastAsia" w:ascii="仿宋" w:hAnsi="仿宋" w:eastAsia="仿宋" w:cs="仿宋"/>
          <w:sz w:val="28"/>
          <w:szCs w:val="28"/>
        </w:rPr>
      </w:pPr>
      <w:r>
        <w:rPr>
          <w:rFonts w:hint="eastAsia" w:ascii="仿宋" w:hAnsi="仿宋" w:eastAsia="仿宋" w:cs="仿宋"/>
          <w:sz w:val="28"/>
          <w:szCs w:val="28"/>
        </w:rPr>
        <w:t>软件故障发生后的时响应与修复记录；</w:t>
      </w:r>
    </w:p>
    <w:p w14:paraId="43C0702F">
      <w:pPr>
        <w:pStyle w:val="28"/>
        <w:numPr>
          <w:ilvl w:val="0"/>
          <w:numId w:val="2"/>
        </w:numPr>
        <w:spacing w:line="360" w:lineRule="auto"/>
        <w:ind w:left="845" w:leftChars="0" w:hanging="425" w:firstLineChars="0"/>
        <w:rPr>
          <w:rFonts w:hint="eastAsia" w:ascii="仿宋" w:hAnsi="仿宋" w:eastAsia="仿宋" w:cs="仿宋"/>
          <w:sz w:val="28"/>
          <w:szCs w:val="28"/>
        </w:rPr>
      </w:pPr>
      <w:r>
        <w:rPr>
          <w:rFonts w:hint="eastAsia" w:ascii="仿宋" w:hAnsi="仿宋" w:eastAsia="仿宋" w:cs="仿宋"/>
          <w:sz w:val="28"/>
          <w:szCs w:val="28"/>
        </w:rPr>
        <w:t>新增</w:t>
      </w:r>
      <w:r>
        <w:rPr>
          <w:rFonts w:hint="eastAsia" w:ascii="仿宋" w:hAnsi="仿宋" w:eastAsia="仿宋" w:cs="仿宋"/>
          <w:sz w:val="28"/>
          <w:szCs w:val="28"/>
          <w:lang w:val="en-US" w:eastAsia="zh-CN"/>
        </w:rPr>
        <w:t>需求或日常问题处理报告</w:t>
      </w:r>
      <w:r>
        <w:rPr>
          <w:rFonts w:hint="eastAsia" w:ascii="仿宋" w:hAnsi="仿宋" w:eastAsia="仿宋" w:cs="仿宋"/>
          <w:sz w:val="28"/>
          <w:szCs w:val="28"/>
        </w:rPr>
        <w:t>；</w:t>
      </w:r>
    </w:p>
    <w:p w14:paraId="1B33CE74">
      <w:pPr>
        <w:pStyle w:val="28"/>
        <w:numPr>
          <w:ilvl w:val="0"/>
          <w:numId w:val="2"/>
        </w:numPr>
        <w:spacing w:line="360" w:lineRule="auto"/>
        <w:ind w:left="845" w:leftChars="0" w:hanging="425" w:firstLineChars="0"/>
        <w:rPr>
          <w:rFonts w:hint="eastAsia" w:ascii="仿宋" w:hAnsi="仿宋" w:eastAsia="仿宋" w:cs="仿宋"/>
          <w:sz w:val="28"/>
          <w:szCs w:val="28"/>
        </w:rPr>
      </w:pPr>
      <w:r>
        <w:rPr>
          <w:rFonts w:hint="eastAsia" w:ascii="仿宋" w:hAnsi="仿宋" w:eastAsia="仿宋" w:cs="仿宋"/>
          <w:sz w:val="28"/>
          <w:szCs w:val="28"/>
        </w:rPr>
        <w:t>对相关人员的技术培训服务记录；</w:t>
      </w:r>
    </w:p>
    <w:p w14:paraId="455A33BA">
      <w:pPr>
        <w:pStyle w:val="28"/>
        <w:numPr>
          <w:ilvl w:val="0"/>
          <w:numId w:val="2"/>
        </w:numPr>
        <w:spacing w:line="360" w:lineRule="auto"/>
        <w:ind w:left="845" w:leftChars="0" w:hanging="425" w:firstLineChars="0"/>
        <w:rPr>
          <w:rFonts w:hint="eastAsia" w:ascii="仿宋" w:hAnsi="仿宋" w:eastAsia="仿宋" w:cs="仿宋"/>
          <w:sz w:val="28"/>
          <w:szCs w:val="28"/>
        </w:rPr>
      </w:pPr>
      <w:r>
        <w:rPr>
          <w:rFonts w:hint="eastAsia" w:ascii="仿宋" w:hAnsi="仿宋" w:eastAsia="仿宋" w:cs="仿宋"/>
          <w:sz w:val="28"/>
          <w:szCs w:val="28"/>
        </w:rPr>
        <w:t>其未列入的运维记录颜料。</w:t>
      </w:r>
    </w:p>
    <w:p w14:paraId="1DBE1888">
      <w:pPr>
        <w:pStyle w:val="28"/>
        <w:numPr>
          <w:ilvl w:val="0"/>
          <w:numId w:val="2"/>
        </w:numPr>
        <w:spacing w:line="360" w:lineRule="auto"/>
        <w:ind w:left="845" w:leftChars="0" w:hanging="425" w:firstLineChars="0"/>
        <w:rPr>
          <w:rFonts w:hint="eastAsia" w:ascii="仿宋" w:hAnsi="仿宋" w:eastAsia="仿宋" w:cs="仿宋"/>
          <w:sz w:val="28"/>
          <w:szCs w:val="28"/>
          <w:lang w:val="en-US" w:eastAsia="zh-CN"/>
        </w:rPr>
      </w:pPr>
      <w:r>
        <w:rPr>
          <w:rFonts w:hint="eastAsia" w:ascii="仿宋" w:hAnsi="仿宋" w:eastAsia="仿宋" w:cs="仿宋"/>
          <w:sz w:val="28"/>
          <w:szCs w:val="28"/>
        </w:rPr>
        <w:t>供应商有完成本项目的能力，有类似相关业绩作为经验；项目人员有相关证书。</w:t>
      </w:r>
    </w:p>
    <w:p w14:paraId="0F029047">
      <w:pPr>
        <w:pStyle w:val="28"/>
        <w:numPr>
          <w:ilvl w:val="0"/>
          <w:numId w:val="0"/>
        </w:numPr>
        <w:spacing w:line="240" w:lineRule="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针对本项目提供项目实施方案，内容包括：①项目背景；②服务目标；③服务范围；④服务方式；⑤服务流程；⑥运维计划；⑦组织落实力度；⑧服务与技术难点分析；⑨定期巡检制；⑩系统运行情况报告制度等。</w:t>
      </w:r>
    </w:p>
    <w:p w14:paraId="2FCF2D2E">
      <w:pPr>
        <w:pStyle w:val="28"/>
        <w:numPr>
          <w:ilvl w:val="0"/>
          <w:numId w:val="0"/>
        </w:numPr>
        <w:spacing w:line="240" w:lineRule="auto"/>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安全保密</w:t>
      </w:r>
    </w:p>
    <w:p w14:paraId="7DC53023">
      <w:pPr>
        <w:pStyle w:val="28"/>
        <w:numPr>
          <w:ilvl w:val="0"/>
          <w:numId w:val="0"/>
        </w:numPr>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w:t>
      </w:r>
      <w:r>
        <w:rPr>
          <w:rFonts w:hint="eastAsia" w:ascii="仿宋" w:hAnsi="仿宋" w:eastAsia="仿宋" w:cs="仿宋"/>
          <w:sz w:val="28"/>
          <w:szCs w:val="28"/>
        </w:rPr>
        <w:t>1）中标供应商须与医院签订保密承诺书。</w:t>
      </w:r>
    </w:p>
    <w:p w14:paraId="4B8FACBB">
      <w:pPr>
        <w:pStyle w:val="28"/>
        <w:numPr>
          <w:ilvl w:val="0"/>
          <w:numId w:val="0"/>
        </w:numPr>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w:t>
      </w:r>
      <w:r>
        <w:rPr>
          <w:rFonts w:hint="eastAsia" w:ascii="仿宋" w:hAnsi="仿宋" w:eastAsia="仿宋" w:cs="仿宋"/>
          <w:sz w:val="28"/>
          <w:szCs w:val="28"/>
        </w:rPr>
        <w:t>2）中标供应商遵守保密相关法律法规，不得向中标供应商及所投软件系统厂商内部无关人员及任何第三方泄露双方在执行合同过程中了解到的采购人任何信息。未经采购人同意，中标供应商及所投产品厂商保证不在系统中植入无关信息（包括广告、中标供应商及所投产品厂商或第三方的推广信息等）；</w:t>
      </w:r>
    </w:p>
    <w:p w14:paraId="3FA442F5">
      <w:pPr>
        <w:pStyle w:val="28"/>
        <w:numPr>
          <w:ilvl w:val="0"/>
          <w:numId w:val="0"/>
        </w:numPr>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w:t>
      </w:r>
      <w:r>
        <w:rPr>
          <w:rFonts w:hint="eastAsia" w:ascii="仿宋" w:hAnsi="仿宋" w:eastAsia="仿宋" w:cs="仿宋"/>
          <w:sz w:val="28"/>
          <w:szCs w:val="28"/>
        </w:rPr>
        <w:t>3）禁止以直接、间接、口头或书面等形式提供或涉及的医院工作事项内容，均属于保密范畴。</w:t>
      </w:r>
    </w:p>
    <w:p w14:paraId="46499979">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注：</w:t>
      </w:r>
      <w:r>
        <w:rPr>
          <w:rFonts w:hint="eastAsia" w:ascii="仿宋" w:hAnsi="仿宋" w:eastAsia="仿宋" w:cs="仿宋"/>
          <w:b/>
          <w:bCs/>
          <w:color w:val="auto"/>
          <w:sz w:val="28"/>
          <w:szCs w:val="28"/>
          <w:highlight w:val="none"/>
          <w:lang w:val="en-US" w:eastAsia="zh-CN"/>
        </w:rPr>
        <w:t>1、</w:t>
      </w:r>
      <w:r>
        <w:rPr>
          <w:rFonts w:hint="eastAsia" w:ascii="仿宋" w:hAnsi="仿宋" w:eastAsia="仿宋" w:cs="仿宋"/>
          <w:b/>
          <w:bCs/>
          <w:color w:val="auto"/>
          <w:sz w:val="28"/>
          <w:szCs w:val="28"/>
          <w:highlight w:val="none"/>
        </w:rPr>
        <w:t>以上带★号条款为实质性要求。</w:t>
      </w:r>
    </w:p>
    <w:p w14:paraId="001A0AAE">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0" w:firstLine="562" w:firstLineChars="200"/>
        <w:textAlignment w:val="auto"/>
        <w:rPr>
          <w:rFonts w:hint="eastAsia"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本项目所涉及的所有国家标准、地方标准、行业标准等如有最新的标准以最新标准为准。</w:t>
      </w:r>
    </w:p>
    <w:p w14:paraId="2CE8809A">
      <w:pPr>
        <w:pStyle w:val="8"/>
        <w:numPr>
          <w:ilvl w:val="0"/>
          <w:numId w:val="0"/>
        </w:numPr>
        <w:ind w:leftChars="0"/>
        <w:rPr>
          <w:rFonts w:hint="eastAsia" w:ascii="仿宋" w:hAnsi="仿宋" w:eastAsia="仿宋" w:cs="仿宋"/>
          <w:b/>
          <w:bCs/>
          <w:kern w:val="2"/>
          <w:sz w:val="28"/>
          <w:szCs w:val="28"/>
          <w:lang w:val="en-US" w:eastAsia="zh-CN" w:bidi="ar-SA"/>
        </w:rPr>
      </w:pPr>
    </w:p>
    <w:p w14:paraId="6A95665C">
      <w:pPr>
        <w:rPr>
          <w:rFonts w:hint="eastAsia" w:ascii="仿宋" w:hAnsi="仿宋" w:eastAsia="仿宋" w:cs="仿宋"/>
          <w:b/>
          <w:bCs/>
          <w:kern w:val="2"/>
          <w:sz w:val="28"/>
          <w:szCs w:val="28"/>
          <w:lang w:val="en-US" w:eastAsia="zh-CN" w:bidi="ar-SA"/>
        </w:rPr>
      </w:pPr>
    </w:p>
    <w:p w14:paraId="47AD950F">
      <w:pPr>
        <w:rPr>
          <w:rFonts w:hint="eastAsia" w:ascii="仿宋" w:hAnsi="仿宋" w:eastAsia="仿宋" w:cs="仿宋"/>
          <w:b/>
          <w:bCs/>
          <w:kern w:val="2"/>
          <w:sz w:val="28"/>
          <w:szCs w:val="28"/>
          <w:lang w:val="en-US" w:eastAsia="zh-CN" w:bidi="ar-SA"/>
        </w:rPr>
      </w:pPr>
    </w:p>
    <w:p w14:paraId="3330D3AC">
      <w:pPr>
        <w:rPr>
          <w:rFonts w:hint="eastAsia" w:ascii="仿宋" w:hAnsi="仿宋" w:eastAsia="仿宋" w:cs="仿宋"/>
          <w:b/>
          <w:bCs/>
          <w:kern w:val="2"/>
          <w:sz w:val="28"/>
          <w:szCs w:val="28"/>
          <w:lang w:val="en-US" w:eastAsia="zh-CN" w:bidi="ar-SA"/>
        </w:rPr>
      </w:pPr>
    </w:p>
    <w:p w14:paraId="52EE4EA2">
      <w:pPr>
        <w:pStyle w:val="8"/>
        <w:numPr>
          <w:ilvl w:val="0"/>
          <w:numId w:val="0"/>
        </w:numPr>
        <w:ind w:leftChars="0"/>
        <w:rPr>
          <w:rFonts w:hint="eastAsia" w:ascii="仿宋" w:hAnsi="仿宋" w:eastAsia="仿宋" w:cs="仿宋"/>
          <w:sz w:val="28"/>
          <w:szCs w:val="28"/>
          <w:lang w:val="en-US" w:eastAsia="zh-CN"/>
        </w:rPr>
      </w:pPr>
      <w:r>
        <w:rPr>
          <w:rFonts w:hint="eastAsia" w:ascii="仿宋" w:hAnsi="仿宋" w:eastAsia="仿宋" w:cs="仿宋"/>
          <w:b/>
          <w:bCs/>
          <w:kern w:val="2"/>
          <w:sz w:val="28"/>
          <w:szCs w:val="28"/>
          <w:lang w:val="en-US" w:eastAsia="zh-CN" w:bidi="ar-SA"/>
        </w:rPr>
        <w:t>附件：现有系统功能描述</w:t>
      </w:r>
    </w:p>
    <w:tbl>
      <w:tblPr>
        <w:tblStyle w:val="20"/>
        <w:tblW w:w="86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5"/>
        <w:gridCol w:w="2890"/>
        <w:gridCol w:w="4945"/>
      </w:tblGrid>
      <w:tr w14:paraId="34A2C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85" w:type="dxa"/>
            <w:tcBorders>
              <w:top w:val="single" w:color="000000" w:sz="4" w:space="0"/>
              <w:left w:val="single" w:color="000000" w:sz="4" w:space="0"/>
              <w:bottom w:val="single" w:color="auto" w:sz="4" w:space="0"/>
              <w:right w:val="single" w:color="000000" w:sz="4" w:space="0"/>
            </w:tcBorders>
            <w:shd w:val="clear" w:color="auto" w:fill="auto"/>
            <w:vAlign w:val="center"/>
          </w:tcPr>
          <w:p w14:paraId="11B49A60">
            <w:pPr>
              <w:keepNext w:val="0"/>
              <w:keepLines w:val="0"/>
              <w:widowControl/>
              <w:suppressLineNumbers w:val="0"/>
              <w:jc w:val="left"/>
              <w:textAlignment w:val="center"/>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序号</w:t>
            </w:r>
          </w:p>
        </w:tc>
        <w:tc>
          <w:tcPr>
            <w:tcW w:w="28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420C63">
            <w:pPr>
              <w:keepNext w:val="0"/>
              <w:keepLines w:val="0"/>
              <w:widowControl/>
              <w:suppressLineNumbers w:val="0"/>
              <w:jc w:val="left"/>
              <w:textAlignment w:val="center"/>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功能模块</w:t>
            </w:r>
          </w:p>
        </w:tc>
        <w:tc>
          <w:tcPr>
            <w:tcW w:w="49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4ACB4C">
            <w:pPr>
              <w:keepNext w:val="0"/>
              <w:keepLines w:val="0"/>
              <w:widowControl/>
              <w:suppressLineNumbers w:val="0"/>
              <w:jc w:val="left"/>
              <w:textAlignment w:val="center"/>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模块功能描述</w:t>
            </w:r>
          </w:p>
        </w:tc>
      </w:tr>
      <w:tr w14:paraId="6B6BC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EF002">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313B80AC">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智能预警模块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47409465">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维护预警规则与条件组合，确保自动筛选准确并及时处理超时督查配置。</w:t>
            </w:r>
          </w:p>
        </w:tc>
      </w:tr>
      <w:tr w14:paraId="10F57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537629">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4A48DE16">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爆发预警模块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01726096">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维护暴发参数（天数/人数）及趋势图数据源，确保暴发识别与图表显示正常。</w:t>
            </w:r>
          </w:p>
        </w:tc>
      </w:tr>
      <w:tr w14:paraId="4932F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6DFD1">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10A3D216">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消息中心模块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5F0A5A60">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维护消息推送机制与历史记录清理，处理各类提醒闪动及跳转失效问题。</w:t>
            </w:r>
          </w:p>
        </w:tc>
      </w:tr>
      <w:tr w14:paraId="62DC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6CF86B">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7057AB3F">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病人诊疗信息监控台模块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23BB724C">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维护日历、时序图及病程关键字高亮规则，确保医嘱、检验、体温单等数据完整显示。</w:t>
            </w:r>
          </w:p>
        </w:tc>
      </w:tr>
      <w:tr w14:paraId="11042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6C692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5881EB0E">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回顾性监测</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6C84F9F8">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处理报卡状态同步、报表公式校验，维护医生权限及置管查询的时间轴逻辑。</w:t>
            </w:r>
          </w:p>
        </w:tc>
      </w:tr>
      <w:tr w14:paraId="5303F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834E2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16297F16">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目标性监测模块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5F386DE1">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维护外科手术、ICU、高危新生儿、多重耐药等监测的接口采集与手工补录功能，确保前瞻性追踪及VAC/IVAC自动分析每日正常运行。</w:t>
            </w:r>
          </w:p>
        </w:tc>
      </w:tr>
      <w:tr w14:paraId="1CEC0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0F7244">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7CD089BC">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外科手术监测模块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43379830">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监控手术接口数据完整性，维护NNIS分级、ASA评分及I类切口愈合率计算。</w:t>
            </w:r>
          </w:p>
        </w:tc>
      </w:tr>
      <w:tr w14:paraId="2DB36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3EBA18">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34BA4B85">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ICU监测模块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5C4B153E">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维护ICU日志自动生成、三管感染监测算法及同比分析的时间范围。</w:t>
            </w:r>
          </w:p>
        </w:tc>
      </w:tr>
      <w:tr w14:paraId="72D15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4FE75C">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1378086F">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高危新生儿监测模块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0F4ECB36">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维护新生儿体重分类区间及两管监测逻辑，支持按月导出统计。</w:t>
            </w:r>
          </w:p>
        </w:tc>
      </w:tr>
      <w:tr w14:paraId="4134D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5F6C86">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334E6419">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多重耐药监测模块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40E4FCD0">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维护耐药菌字典（MDR/XDR/PDR）及自动计算规则，处理漏报查询与上报卡映射。</w:t>
            </w:r>
          </w:p>
        </w:tc>
      </w:tr>
      <w:tr w14:paraId="6042C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32705">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2EA62EB5">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微生物监测模块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7EFC38B1">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维护病原体字典与革兰氏分类映射，确保耐药查询导出及自定义类别不重复。</w:t>
            </w:r>
          </w:p>
        </w:tc>
      </w:tr>
      <w:tr w14:paraId="4BA78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C2E08B">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28A29742">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抗菌药物监测模块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34B0D71D">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维护抗生素字典与DDD值，复核联合用药、送检率逻辑及哨点上报接口连通性。</w:t>
            </w:r>
          </w:p>
        </w:tc>
      </w:tr>
      <w:tr w14:paraId="2EAEA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1BC4B0">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0FC24124">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针刺伤与职业暴露模块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2927FE19">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维护暴露调查表字段、回访提醒规则及检验申请单与HIS的同步。</w:t>
            </w:r>
          </w:p>
        </w:tc>
      </w:tr>
      <w:tr w14:paraId="7CE66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EA8097">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728E6787">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环境卫生学监测模块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3A26F1BA">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维护采样项目字典与合格阈值，处理消毒产品资质到期预警及合格率报表公式。</w:t>
            </w:r>
          </w:p>
        </w:tc>
      </w:tr>
      <w:tr w14:paraId="3C809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82C90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0F492B4A">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现患率监测模块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350FFEE2">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维护自动调查表生成规则，核对现患率统计口径及省平台直报接口格式。</w:t>
            </w:r>
          </w:p>
        </w:tc>
      </w:tr>
      <w:tr w14:paraId="406D4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DF1D86">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3B2B0C57">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区域数据直报模块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2A8A845E">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监控上报任务执行日志，维护与省质控中心平台的数据映射及失败重试。</w:t>
            </w:r>
          </w:p>
        </w:tc>
      </w:tr>
      <w:tr w14:paraId="25176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D64BF8">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4C81FA40">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医院等级评审模块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5D8ED8A4">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定期核对评审指标口径与最新标准，确保一站式报表自动更新。</w:t>
            </w:r>
          </w:p>
        </w:tc>
      </w:tr>
      <w:tr w14:paraId="0921A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61AB9">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5462B0A9">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数据接口服务模块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59F47D11">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监控接口日志，处理数据同步失败、字典映射缺失及数据库死锁重连。</w:t>
            </w:r>
          </w:p>
        </w:tc>
      </w:tr>
      <w:tr w14:paraId="600B0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DAA8B4">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10DF5F1C">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嵌入式报卡模块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0748DDF9">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配合HIS厂商升级，维护调用示例代码及C/S、B/S兼容性测试。</w:t>
            </w:r>
          </w:p>
        </w:tc>
      </w:tr>
      <w:tr w14:paraId="2F592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C2F71E">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2890" w:type="dxa"/>
            <w:tcBorders>
              <w:top w:val="single" w:color="auto" w:sz="4" w:space="0"/>
              <w:left w:val="single" w:color="auto" w:sz="4" w:space="0"/>
              <w:bottom w:val="single" w:color="auto" w:sz="4" w:space="0"/>
              <w:right w:val="single" w:color="auto" w:sz="4" w:space="0"/>
            </w:tcBorders>
            <w:shd w:val="clear" w:color="auto" w:fill="auto"/>
            <w:vAlign w:val="center"/>
          </w:tcPr>
          <w:p w14:paraId="45943DFE">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独立报卡模块</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23FDABFA">
            <w:pPr>
              <w:keepNext w:val="0"/>
              <w:keepLines w:val="0"/>
              <w:widowControl/>
              <w:suppressLineNumbers w:val="0"/>
              <w:jc w:val="left"/>
              <w:textAlignment w:val="center"/>
              <w:rPr>
                <w:rFonts w:hint="eastAsia" w:ascii="仿宋" w:hAnsi="仿宋" w:eastAsia="仿宋" w:cs="仿宋"/>
                <w:i w:val="0"/>
                <w:iCs w:val="0"/>
                <w:color w:val="0F1115"/>
                <w:sz w:val="28"/>
                <w:szCs w:val="28"/>
                <w:u w:val="none"/>
              </w:rPr>
            </w:pPr>
            <w:r>
              <w:rPr>
                <w:rFonts w:hint="eastAsia" w:ascii="仿宋" w:hAnsi="仿宋" w:eastAsia="仿宋" w:cs="仿宋"/>
                <w:i w:val="0"/>
                <w:iCs w:val="0"/>
                <w:color w:val="0F1115"/>
                <w:kern w:val="0"/>
                <w:sz w:val="28"/>
                <w:szCs w:val="28"/>
                <w:u w:val="none"/>
                <w:lang w:val="en-US" w:eastAsia="zh-CN" w:bidi="ar"/>
              </w:rPr>
              <w:t>处理客户端版本更新、配置文件备份及报错日志收集。</w:t>
            </w:r>
          </w:p>
        </w:tc>
      </w:tr>
    </w:tbl>
    <w:p w14:paraId="3BFB8A80">
      <w:pPr>
        <w:pStyle w:val="8"/>
        <w:rPr>
          <w:rFonts w:hint="eastAsia"/>
          <w:lang w:val="en-US" w:eastAsia="zh-CN"/>
        </w:rPr>
      </w:pPr>
    </w:p>
    <w:p w14:paraId="75D3C777">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注：</w:t>
      </w:r>
      <w:r>
        <w:rPr>
          <w:rFonts w:hint="eastAsia" w:ascii="仿宋" w:hAnsi="仿宋" w:eastAsia="仿宋" w:cs="仿宋"/>
          <w:b/>
          <w:bCs/>
          <w:color w:val="auto"/>
          <w:sz w:val="28"/>
          <w:szCs w:val="28"/>
          <w:highlight w:val="none"/>
          <w:lang w:val="en-US" w:eastAsia="zh-CN"/>
        </w:rPr>
        <w:t>1、</w:t>
      </w:r>
      <w:r>
        <w:rPr>
          <w:rFonts w:hint="eastAsia" w:ascii="仿宋" w:hAnsi="仿宋" w:eastAsia="仿宋" w:cs="仿宋"/>
          <w:b/>
          <w:bCs/>
          <w:color w:val="auto"/>
          <w:sz w:val="28"/>
          <w:szCs w:val="28"/>
          <w:highlight w:val="none"/>
        </w:rPr>
        <w:t>以上带★号条款为实质性要求。</w:t>
      </w:r>
    </w:p>
    <w:p w14:paraId="498BDE5C">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0" w:firstLine="562" w:firstLineChars="200"/>
        <w:textAlignment w:val="auto"/>
        <w:rPr>
          <w:rFonts w:hint="eastAsia"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本项目所涉及的所有国家标准、地方标准、行业标准等如有最新的标准以最新标准为准。</w:t>
      </w:r>
    </w:p>
    <w:p w14:paraId="42E105F5">
      <w:pPr>
        <w:spacing w:line="360" w:lineRule="auto"/>
        <w:outlineLvl w:val="0"/>
        <w:rPr>
          <w:rFonts w:hint="eastAsia" w:ascii="仿宋" w:hAnsi="仿宋" w:eastAsia="仿宋" w:cs="仿宋"/>
          <w:b/>
          <w:bCs/>
          <w:color w:val="auto"/>
          <w:sz w:val="32"/>
          <w:szCs w:val="32"/>
        </w:rPr>
      </w:pPr>
    </w:p>
    <w:p w14:paraId="29C053C6">
      <w:pPr>
        <w:spacing w:line="360" w:lineRule="auto"/>
        <w:outlineLvl w:val="0"/>
        <w:rPr>
          <w:rFonts w:hint="eastAsia" w:ascii="仿宋" w:hAnsi="仿宋" w:eastAsia="仿宋" w:cs="仿宋"/>
          <w:b/>
          <w:bCs/>
          <w:color w:val="auto"/>
          <w:sz w:val="32"/>
          <w:szCs w:val="32"/>
        </w:rPr>
      </w:pPr>
    </w:p>
    <w:p w14:paraId="566A0F54">
      <w:pPr>
        <w:spacing w:line="360" w:lineRule="auto"/>
        <w:outlineLvl w:val="0"/>
        <w:rPr>
          <w:rFonts w:hint="eastAsia" w:ascii="仿宋" w:hAnsi="仿宋" w:eastAsia="仿宋" w:cs="仿宋"/>
          <w:b/>
          <w:bCs/>
          <w:color w:val="auto"/>
          <w:sz w:val="32"/>
          <w:szCs w:val="32"/>
        </w:rPr>
      </w:pPr>
    </w:p>
    <w:p w14:paraId="24D1D46D">
      <w:pPr>
        <w:spacing w:line="360" w:lineRule="auto"/>
        <w:outlineLvl w:val="0"/>
        <w:rPr>
          <w:rFonts w:hint="eastAsia" w:ascii="仿宋" w:hAnsi="仿宋" w:eastAsia="仿宋" w:cs="仿宋"/>
          <w:b/>
          <w:bCs/>
          <w:color w:val="auto"/>
          <w:sz w:val="32"/>
          <w:szCs w:val="32"/>
        </w:rPr>
      </w:pPr>
    </w:p>
    <w:p w14:paraId="12E7BBB3">
      <w:pPr>
        <w:spacing w:line="360" w:lineRule="auto"/>
        <w:outlineLvl w:val="0"/>
        <w:rPr>
          <w:rFonts w:hint="eastAsia" w:ascii="仿宋" w:hAnsi="仿宋" w:eastAsia="仿宋" w:cs="仿宋"/>
          <w:b/>
          <w:bCs/>
          <w:color w:val="auto"/>
          <w:sz w:val="32"/>
          <w:szCs w:val="32"/>
        </w:rPr>
      </w:pPr>
    </w:p>
    <w:p w14:paraId="64FF11D2">
      <w:pPr>
        <w:spacing w:line="360" w:lineRule="auto"/>
        <w:outlineLvl w:val="0"/>
        <w:rPr>
          <w:rFonts w:hint="eastAsia" w:ascii="仿宋" w:hAnsi="仿宋" w:eastAsia="仿宋" w:cs="仿宋"/>
          <w:b/>
          <w:bCs/>
          <w:color w:val="auto"/>
          <w:sz w:val="32"/>
          <w:szCs w:val="32"/>
        </w:rPr>
      </w:pPr>
    </w:p>
    <w:p w14:paraId="0391525D">
      <w:pPr>
        <w:spacing w:line="360" w:lineRule="auto"/>
        <w:outlineLvl w:val="0"/>
        <w:rPr>
          <w:rFonts w:hint="eastAsia" w:ascii="仿宋" w:hAnsi="仿宋" w:eastAsia="仿宋" w:cs="仿宋"/>
          <w:b/>
          <w:bCs/>
          <w:color w:val="auto"/>
          <w:sz w:val="32"/>
          <w:szCs w:val="32"/>
        </w:rPr>
      </w:pPr>
    </w:p>
    <w:p w14:paraId="0056E3A0">
      <w:pPr>
        <w:spacing w:line="360" w:lineRule="auto"/>
        <w:outlineLvl w:val="0"/>
        <w:rPr>
          <w:rFonts w:hint="eastAsia" w:ascii="仿宋" w:hAnsi="仿宋" w:eastAsia="仿宋" w:cs="仿宋"/>
          <w:b/>
          <w:bCs/>
          <w:color w:val="auto"/>
          <w:sz w:val="32"/>
          <w:szCs w:val="32"/>
        </w:rPr>
      </w:pPr>
    </w:p>
    <w:p w14:paraId="4426DE03">
      <w:pPr>
        <w:spacing w:line="360" w:lineRule="auto"/>
        <w:outlineLvl w:val="0"/>
        <w:rPr>
          <w:rFonts w:hint="eastAsia" w:ascii="仿宋" w:hAnsi="仿宋" w:eastAsia="仿宋" w:cs="仿宋"/>
          <w:b/>
          <w:bCs/>
          <w:color w:val="auto"/>
          <w:sz w:val="32"/>
          <w:szCs w:val="32"/>
        </w:rPr>
      </w:pPr>
    </w:p>
    <w:p w14:paraId="1D5DB7C7">
      <w:pPr>
        <w:spacing w:line="360" w:lineRule="auto"/>
        <w:outlineLvl w:val="0"/>
        <w:rPr>
          <w:rFonts w:hint="eastAsia" w:ascii="仿宋" w:hAnsi="仿宋" w:eastAsia="仿宋" w:cs="仿宋"/>
          <w:b/>
          <w:bCs/>
          <w:color w:val="auto"/>
          <w:sz w:val="32"/>
          <w:szCs w:val="32"/>
        </w:rPr>
      </w:pPr>
    </w:p>
    <w:p w14:paraId="003662D6">
      <w:pPr>
        <w:spacing w:line="360" w:lineRule="auto"/>
        <w:outlineLvl w:val="0"/>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rPr>
        <w:t>附件</w:t>
      </w: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：报价</w:t>
      </w:r>
      <w:r>
        <w:rPr>
          <w:rFonts w:hint="eastAsia" w:ascii="仿宋" w:hAnsi="仿宋" w:eastAsia="仿宋" w:cs="仿宋"/>
          <w:b/>
          <w:bCs/>
          <w:color w:val="auto"/>
          <w:sz w:val="32"/>
          <w:szCs w:val="32"/>
          <w:lang w:val="en-US" w:eastAsia="zh-CN"/>
        </w:rPr>
        <w:t>格式</w:t>
      </w:r>
    </w:p>
    <w:p w14:paraId="51B9841B">
      <w:pPr>
        <w:spacing w:line="360" w:lineRule="auto"/>
        <w:outlineLvl w:val="0"/>
        <w:rPr>
          <w:rFonts w:hint="eastAsia" w:ascii="仿宋" w:hAnsi="仿宋" w:eastAsia="仿宋" w:cs="仿宋"/>
          <w:b/>
          <w:bCs/>
          <w:color w:val="auto"/>
          <w:sz w:val="32"/>
          <w:szCs w:val="32"/>
          <w:lang w:val="en-US" w:eastAsia="zh-CN"/>
        </w:rPr>
      </w:pPr>
    </w:p>
    <w:tbl>
      <w:tblPr>
        <w:tblStyle w:val="20"/>
        <w:tblW w:w="10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1"/>
        <w:gridCol w:w="1292"/>
        <w:gridCol w:w="2216"/>
        <w:gridCol w:w="3361"/>
      </w:tblGrid>
      <w:tr w14:paraId="0662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0460" w:type="dxa"/>
            <w:gridSpan w:val="4"/>
            <w:noWrap w:val="0"/>
            <w:vAlign w:val="center"/>
          </w:tcPr>
          <w:p w14:paraId="402C9261">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仿宋"/>
                <w:color w:val="000000"/>
                <w:sz w:val="28"/>
                <w:szCs w:val="28"/>
                <w:lang w:val="en-US" w:eastAsia="zh-CN"/>
              </w:rPr>
              <w:t>成都市新津区中医医院DRG、院感系统运维及传染病前置软件数据质量提升采购项目询预算价</w:t>
            </w:r>
          </w:p>
        </w:tc>
      </w:tr>
      <w:tr w14:paraId="6144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3591" w:type="dxa"/>
            <w:noWrap w:val="0"/>
            <w:vAlign w:val="center"/>
          </w:tcPr>
          <w:p w14:paraId="16FE6383">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分包</w:t>
            </w:r>
          </w:p>
        </w:tc>
        <w:tc>
          <w:tcPr>
            <w:tcW w:w="1292" w:type="dxa"/>
            <w:noWrap w:val="0"/>
            <w:vAlign w:val="center"/>
          </w:tcPr>
          <w:p w14:paraId="615359CA">
            <w:pPr>
              <w:jc w:val="center"/>
              <w:rPr>
                <w:rFonts w:hint="default"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数量</w:t>
            </w:r>
          </w:p>
        </w:tc>
        <w:tc>
          <w:tcPr>
            <w:tcW w:w="2216" w:type="dxa"/>
            <w:noWrap w:val="0"/>
            <w:vAlign w:val="center"/>
          </w:tcPr>
          <w:p w14:paraId="55F47DF3">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单位</w:t>
            </w:r>
          </w:p>
        </w:tc>
        <w:tc>
          <w:tcPr>
            <w:tcW w:w="3361" w:type="dxa"/>
            <w:noWrap w:val="0"/>
            <w:vAlign w:val="center"/>
          </w:tcPr>
          <w:p w14:paraId="0DF09196">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单价（万元）</w:t>
            </w:r>
          </w:p>
        </w:tc>
      </w:tr>
      <w:tr w14:paraId="3BC5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3591" w:type="dxa"/>
            <w:noWrap w:val="0"/>
            <w:vAlign w:val="center"/>
          </w:tcPr>
          <w:p w14:paraId="1F9FB193">
            <w:pPr>
              <w:numPr>
                <w:ilvl w:val="0"/>
                <w:numId w:val="0"/>
              </w:numPr>
              <w:rPr>
                <w:rFonts w:hint="default" w:ascii="仿宋" w:hAnsi="仿宋" w:eastAsia="仿宋" w:cs="仿宋"/>
                <w:color w:val="auto"/>
                <w:kern w:val="2"/>
                <w:sz w:val="28"/>
                <w:szCs w:val="28"/>
                <w:lang w:val="en-US" w:eastAsia="zh-CN" w:bidi="ar-SA"/>
              </w:rPr>
            </w:pPr>
            <w:r>
              <w:rPr>
                <w:rFonts w:hint="eastAsia" w:ascii="仿宋" w:hAnsi="仿宋" w:eastAsia="仿宋" w:cs="仿宋"/>
                <w:b/>
                <w:bCs/>
                <w:color w:val="FF0000"/>
                <w:sz w:val="28"/>
                <w:szCs w:val="28"/>
                <w:highlight w:val="yellow"/>
                <w:lang w:val="en-US" w:eastAsia="zh-CN"/>
              </w:rPr>
              <w:t>包一</w:t>
            </w:r>
            <w:r>
              <w:rPr>
                <w:rFonts w:hint="eastAsia" w:ascii="仿宋" w:hAnsi="仿宋" w:eastAsia="仿宋" w:cs="仿宋"/>
                <w:color w:val="FF0000"/>
                <w:sz w:val="28"/>
                <w:szCs w:val="28"/>
                <w:highlight w:val="yellow"/>
                <w:lang w:val="en-US" w:eastAsia="zh-CN"/>
              </w:rPr>
              <w:t>：</w:t>
            </w:r>
            <w:r>
              <w:rPr>
                <w:rFonts w:hint="eastAsia" w:ascii="仿宋" w:hAnsi="仿宋" w:eastAsia="仿宋" w:cs="仿宋"/>
                <w:b/>
                <w:bCs/>
                <w:color w:val="auto"/>
                <w:sz w:val="28"/>
                <w:szCs w:val="28"/>
                <w:highlight w:val="yellow"/>
                <w:lang w:val="en-US" w:eastAsia="zh-CN"/>
              </w:rPr>
              <w:t>DRG系统运维服务</w:t>
            </w:r>
          </w:p>
        </w:tc>
        <w:tc>
          <w:tcPr>
            <w:tcW w:w="1292" w:type="dxa"/>
            <w:noWrap w:val="0"/>
            <w:vAlign w:val="center"/>
          </w:tcPr>
          <w:p w14:paraId="1076E4E8">
            <w:pPr>
              <w:jc w:val="center"/>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w:t>
            </w:r>
          </w:p>
        </w:tc>
        <w:tc>
          <w:tcPr>
            <w:tcW w:w="2216" w:type="dxa"/>
            <w:noWrap w:val="0"/>
            <w:vAlign w:val="center"/>
          </w:tcPr>
          <w:p w14:paraId="224BB96F">
            <w:pPr>
              <w:jc w:val="center"/>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项</w:t>
            </w:r>
          </w:p>
        </w:tc>
        <w:tc>
          <w:tcPr>
            <w:tcW w:w="3361" w:type="dxa"/>
            <w:noWrap w:val="0"/>
            <w:vAlign w:val="center"/>
          </w:tcPr>
          <w:p w14:paraId="045EFEA7">
            <w:pPr>
              <w:jc w:val="center"/>
              <w:rPr>
                <w:rFonts w:hint="eastAsia" w:ascii="仿宋" w:hAnsi="仿宋" w:eastAsia="仿宋" w:cs="仿宋"/>
                <w:color w:val="auto"/>
                <w:kern w:val="2"/>
                <w:sz w:val="28"/>
                <w:szCs w:val="28"/>
                <w:lang w:val="en-US" w:eastAsia="zh-CN" w:bidi="ar-SA"/>
              </w:rPr>
            </w:pPr>
          </w:p>
        </w:tc>
      </w:tr>
      <w:tr w14:paraId="3379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0460" w:type="dxa"/>
            <w:gridSpan w:val="4"/>
            <w:noWrap w:val="0"/>
            <w:vAlign w:val="center"/>
          </w:tcPr>
          <w:p w14:paraId="1C714BDD">
            <w:pPr>
              <w:pStyle w:val="8"/>
              <w:numPr>
                <w:ilvl w:val="0"/>
                <w:numId w:val="0"/>
              </w:numPr>
              <w:spacing w:after="0"/>
              <w:ind w:left="0" w:leftChars="0" w:firstLine="0" w:firstLineChars="0"/>
              <w:jc w:val="center"/>
              <w:rPr>
                <w:rFonts w:hint="default" w:ascii="仿宋" w:hAnsi="仿宋" w:eastAsia="仿宋" w:cs="仿宋"/>
                <w:bCs/>
                <w:color w:val="auto"/>
                <w:kern w:val="2"/>
                <w:sz w:val="28"/>
                <w:szCs w:val="28"/>
                <w:u w:val="single"/>
                <w:lang w:val="en-US" w:eastAsia="zh-CN" w:bidi="ar-SA"/>
              </w:rPr>
            </w:pPr>
            <w:r>
              <w:rPr>
                <w:rFonts w:hint="eastAsia" w:ascii="仿宋" w:hAnsi="仿宋" w:eastAsia="仿宋" w:cs="仿宋"/>
                <w:bCs/>
                <w:color w:val="auto"/>
                <w:kern w:val="2"/>
                <w:sz w:val="28"/>
                <w:szCs w:val="28"/>
                <w:lang w:val="en-US" w:eastAsia="zh-CN" w:bidi="ar-SA"/>
              </w:rPr>
              <w:t>大写总价（元）：</w:t>
            </w:r>
            <w:r>
              <w:rPr>
                <w:rFonts w:hint="eastAsia" w:ascii="仿宋" w:hAnsi="仿宋" w:eastAsia="仿宋" w:cs="仿宋"/>
                <w:bCs/>
                <w:color w:val="auto"/>
                <w:kern w:val="2"/>
                <w:sz w:val="28"/>
                <w:szCs w:val="28"/>
                <w:u w:val="single"/>
                <w:lang w:val="en-US" w:eastAsia="zh-CN" w:bidi="ar-SA"/>
              </w:rPr>
              <w:t xml:space="preserve">               </w:t>
            </w:r>
          </w:p>
        </w:tc>
      </w:tr>
    </w:tbl>
    <w:p w14:paraId="3D529E6E">
      <w:pPr>
        <w:spacing w:line="360" w:lineRule="auto"/>
        <w:outlineLvl w:val="0"/>
        <w:rPr>
          <w:rFonts w:hint="eastAsia" w:ascii="仿宋" w:hAnsi="仿宋" w:eastAsia="仿宋" w:cs="仿宋"/>
          <w:b/>
          <w:bCs/>
          <w:color w:val="auto"/>
          <w:sz w:val="32"/>
          <w:szCs w:val="32"/>
          <w:lang w:val="en-US" w:eastAsia="zh-CN"/>
        </w:rPr>
      </w:pPr>
    </w:p>
    <w:p w14:paraId="570252AE">
      <w:pPr>
        <w:rPr>
          <w:rFonts w:hint="default" w:ascii="仿宋" w:hAnsi="仿宋" w:eastAsia="仿宋" w:cs="Times New Roman"/>
          <w:color w:val="auto"/>
          <w:kern w:val="2"/>
          <w:sz w:val="28"/>
          <w:szCs w:val="28"/>
          <w:lang w:val="en-US" w:eastAsia="zh-CN" w:bidi="ar-SA"/>
        </w:rPr>
      </w:pPr>
    </w:p>
    <w:p w14:paraId="1A2D917C">
      <w:pPr>
        <w:jc w:val="left"/>
        <w:rPr>
          <w:rFonts w:hint="default" w:ascii="仿宋" w:hAnsi="仿宋" w:eastAsia="仿宋" w:cs="Times New Roman"/>
          <w:color w:val="auto"/>
          <w:kern w:val="2"/>
          <w:sz w:val="28"/>
          <w:szCs w:val="28"/>
          <w:lang w:val="en-US" w:eastAsia="zh-CN" w:bidi="ar-SA"/>
        </w:rPr>
      </w:pPr>
      <w:r>
        <w:rPr>
          <w:rFonts w:hint="eastAsia" w:ascii="仿宋" w:hAnsi="仿宋" w:eastAsia="仿宋" w:cs="Times New Roman"/>
          <w:color w:val="auto"/>
          <w:kern w:val="2"/>
          <w:sz w:val="28"/>
          <w:szCs w:val="28"/>
          <w:lang w:val="en-US" w:eastAsia="zh-CN" w:bidi="ar-SA"/>
        </w:rPr>
        <w:t>备注：1、</w:t>
      </w:r>
      <w:r>
        <w:rPr>
          <w:rFonts w:hint="eastAsia" w:ascii="仿宋" w:hAnsi="仿宋" w:eastAsia="仿宋" w:cs="仿宋"/>
          <w:color w:val="auto"/>
          <w:sz w:val="28"/>
          <w:szCs w:val="28"/>
          <w:lang w:val="en-US" w:eastAsia="zh-CN"/>
        </w:rPr>
        <w:t>可提供单包或多包报价、按分包整体报价不可漏报，每包报价须分开单独密封、否则视为无效报价；2、</w:t>
      </w:r>
      <w:r>
        <w:rPr>
          <w:rFonts w:hint="eastAsia" w:ascii="仿宋" w:hAnsi="仿宋" w:eastAsia="仿宋" w:cs="Times New Roman"/>
          <w:color w:val="auto"/>
          <w:kern w:val="2"/>
          <w:sz w:val="28"/>
          <w:szCs w:val="28"/>
          <w:lang w:val="en-US" w:eastAsia="zh-CN" w:bidi="ar-SA"/>
        </w:rPr>
        <w:t>报价表如有列举项目不全的，各报价公司可以在原表上添项，不能改变原表格内容。报价合计总价在列表末汇总，最多保留小数点后两位，此报价单须盖公章单独密封。</w:t>
      </w:r>
    </w:p>
    <w:p w14:paraId="2845D14C">
      <w:pPr>
        <w:rPr>
          <w:rFonts w:hint="default" w:ascii="仿宋" w:hAnsi="仿宋" w:eastAsia="仿宋" w:cs="Times New Roman"/>
          <w:color w:val="auto"/>
          <w:kern w:val="2"/>
          <w:sz w:val="28"/>
          <w:szCs w:val="28"/>
          <w:lang w:val="en-US" w:eastAsia="zh-CN" w:bidi="ar-SA"/>
        </w:rPr>
      </w:pPr>
    </w:p>
    <w:p w14:paraId="729344B5">
      <w:pPr>
        <w:pStyle w:val="8"/>
        <w:rPr>
          <w:rFonts w:hint="default" w:ascii="仿宋" w:hAnsi="仿宋" w:eastAsia="仿宋" w:cs="Times New Roman"/>
          <w:color w:val="auto"/>
          <w:kern w:val="2"/>
          <w:sz w:val="28"/>
          <w:szCs w:val="28"/>
          <w:lang w:val="en-US" w:eastAsia="zh-CN" w:bidi="ar-SA"/>
        </w:rPr>
      </w:pPr>
    </w:p>
    <w:p w14:paraId="40B9D0A1">
      <w:pPr>
        <w:rPr>
          <w:rFonts w:hint="default" w:ascii="仿宋" w:hAnsi="仿宋" w:eastAsia="仿宋" w:cs="Times New Roman"/>
          <w:color w:val="auto"/>
          <w:kern w:val="2"/>
          <w:sz w:val="28"/>
          <w:szCs w:val="28"/>
          <w:lang w:val="en-US" w:eastAsia="zh-CN" w:bidi="ar-SA"/>
        </w:rPr>
      </w:pPr>
    </w:p>
    <w:p w14:paraId="647B264C">
      <w:pPr>
        <w:pStyle w:val="8"/>
        <w:rPr>
          <w:rFonts w:hint="default" w:ascii="仿宋" w:hAnsi="仿宋" w:eastAsia="仿宋" w:cs="Times New Roman"/>
          <w:color w:val="auto"/>
          <w:kern w:val="2"/>
          <w:sz w:val="28"/>
          <w:szCs w:val="28"/>
          <w:lang w:val="en-US" w:eastAsia="zh-CN" w:bidi="ar-SA"/>
        </w:rPr>
      </w:pPr>
    </w:p>
    <w:p w14:paraId="126E96AD">
      <w:pPr>
        <w:rPr>
          <w:rFonts w:hint="default" w:ascii="仿宋" w:hAnsi="仿宋" w:eastAsia="仿宋" w:cs="Times New Roman"/>
          <w:color w:val="auto"/>
          <w:kern w:val="2"/>
          <w:sz w:val="28"/>
          <w:szCs w:val="28"/>
          <w:lang w:val="en-US" w:eastAsia="zh-CN" w:bidi="ar-SA"/>
        </w:rPr>
      </w:pPr>
    </w:p>
    <w:tbl>
      <w:tblPr>
        <w:tblStyle w:val="20"/>
        <w:tblW w:w="10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1"/>
        <w:gridCol w:w="1292"/>
        <w:gridCol w:w="2216"/>
        <w:gridCol w:w="3361"/>
      </w:tblGrid>
      <w:tr w14:paraId="22EB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0460" w:type="dxa"/>
            <w:gridSpan w:val="4"/>
            <w:noWrap w:val="0"/>
            <w:vAlign w:val="center"/>
          </w:tcPr>
          <w:p w14:paraId="3FD13591">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仿宋"/>
                <w:color w:val="000000"/>
                <w:sz w:val="28"/>
                <w:szCs w:val="28"/>
                <w:lang w:val="en-US" w:eastAsia="zh-CN"/>
              </w:rPr>
              <w:t>成都市新津区中医医院DRG、院感系统运维及传染病前置软件数据质量提升采购项目询预算价</w:t>
            </w:r>
          </w:p>
        </w:tc>
      </w:tr>
      <w:tr w14:paraId="5ED8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3591" w:type="dxa"/>
            <w:noWrap w:val="0"/>
            <w:vAlign w:val="center"/>
          </w:tcPr>
          <w:p w14:paraId="6F8696D4">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分包</w:t>
            </w:r>
          </w:p>
        </w:tc>
        <w:tc>
          <w:tcPr>
            <w:tcW w:w="1292" w:type="dxa"/>
            <w:noWrap w:val="0"/>
            <w:vAlign w:val="center"/>
          </w:tcPr>
          <w:p w14:paraId="557615BD">
            <w:pPr>
              <w:jc w:val="center"/>
              <w:rPr>
                <w:rFonts w:hint="default"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数量</w:t>
            </w:r>
          </w:p>
        </w:tc>
        <w:tc>
          <w:tcPr>
            <w:tcW w:w="2216" w:type="dxa"/>
            <w:noWrap w:val="0"/>
            <w:vAlign w:val="center"/>
          </w:tcPr>
          <w:p w14:paraId="60BDE0AA">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单位</w:t>
            </w:r>
          </w:p>
        </w:tc>
        <w:tc>
          <w:tcPr>
            <w:tcW w:w="3361" w:type="dxa"/>
            <w:noWrap w:val="0"/>
            <w:vAlign w:val="center"/>
          </w:tcPr>
          <w:p w14:paraId="4E42805E">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单价（万元）</w:t>
            </w:r>
          </w:p>
        </w:tc>
      </w:tr>
      <w:tr w14:paraId="6894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3591" w:type="dxa"/>
            <w:noWrap w:val="0"/>
            <w:vAlign w:val="center"/>
          </w:tcPr>
          <w:p w14:paraId="117B50D3">
            <w:pPr>
              <w:numPr>
                <w:ilvl w:val="0"/>
                <w:numId w:val="0"/>
              </w:numPr>
              <w:rPr>
                <w:rFonts w:hint="default" w:ascii="仿宋" w:hAnsi="仿宋" w:eastAsia="仿宋" w:cs="仿宋"/>
                <w:color w:val="auto"/>
                <w:kern w:val="2"/>
                <w:sz w:val="28"/>
                <w:szCs w:val="28"/>
                <w:lang w:val="en-US" w:eastAsia="zh-CN" w:bidi="ar-SA"/>
              </w:rPr>
            </w:pPr>
            <w:r>
              <w:rPr>
                <w:rFonts w:hint="eastAsia" w:ascii="仿宋" w:hAnsi="仿宋" w:eastAsia="仿宋" w:cs="仿宋"/>
                <w:b/>
                <w:bCs/>
                <w:color w:val="FF0000"/>
                <w:sz w:val="28"/>
                <w:szCs w:val="28"/>
                <w:highlight w:val="yellow"/>
                <w:lang w:val="en-US" w:eastAsia="zh-CN"/>
              </w:rPr>
              <w:t>包二</w:t>
            </w:r>
            <w:r>
              <w:rPr>
                <w:rFonts w:hint="eastAsia" w:ascii="仿宋" w:hAnsi="仿宋" w:eastAsia="仿宋" w:cs="仿宋"/>
                <w:color w:val="FF0000"/>
                <w:sz w:val="28"/>
                <w:szCs w:val="28"/>
                <w:highlight w:val="yellow"/>
                <w:lang w:val="en-US" w:eastAsia="zh-CN"/>
              </w:rPr>
              <w:t>：</w:t>
            </w:r>
            <w:r>
              <w:rPr>
                <w:rFonts w:hint="eastAsia" w:ascii="仿宋" w:hAnsi="仿宋" w:eastAsia="仿宋" w:cs="仿宋"/>
                <w:b/>
                <w:bCs/>
                <w:color w:val="auto"/>
                <w:sz w:val="28"/>
                <w:szCs w:val="28"/>
                <w:highlight w:val="yellow"/>
                <w:lang w:val="en-US" w:eastAsia="zh-CN"/>
              </w:rPr>
              <w:t>院感系统运维及传染病前置软件数据质量提升服务</w:t>
            </w:r>
          </w:p>
        </w:tc>
        <w:tc>
          <w:tcPr>
            <w:tcW w:w="1292" w:type="dxa"/>
            <w:noWrap w:val="0"/>
            <w:vAlign w:val="center"/>
          </w:tcPr>
          <w:p w14:paraId="50F17683">
            <w:pPr>
              <w:jc w:val="center"/>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w:t>
            </w:r>
          </w:p>
        </w:tc>
        <w:tc>
          <w:tcPr>
            <w:tcW w:w="2216" w:type="dxa"/>
            <w:noWrap w:val="0"/>
            <w:vAlign w:val="center"/>
          </w:tcPr>
          <w:p w14:paraId="2FDE3F89">
            <w:pPr>
              <w:jc w:val="center"/>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项</w:t>
            </w:r>
          </w:p>
        </w:tc>
        <w:tc>
          <w:tcPr>
            <w:tcW w:w="3361" w:type="dxa"/>
            <w:noWrap w:val="0"/>
            <w:vAlign w:val="center"/>
          </w:tcPr>
          <w:p w14:paraId="26A35C40">
            <w:pPr>
              <w:jc w:val="center"/>
              <w:rPr>
                <w:rFonts w:hint="eastAsia" w:ascii="仿宋" w:hAnsi="仿宋" w:eastAsia="仿宋" w:cs="仿宋"/>
                <w:color w:val="auto"/>
                <w:kern w:val="2"/>
                <w:sz w:val="28"/>
                <w:szCs w:val="28"/>
                <w:lang w:val="en-US" w:eastAsia="zh-CN" w:bidi="ar-SA"/>
              </w:rPr>
            </w:pPr>
          </w:p>
        </w:tc>
      </w:tr>
      <w:tr w14:paraId="64EF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0460" w:type="dxa"/>
            <w:gridSpan w:val="4"/>
            <w:noWrap w:val="0"/>
            <w:vAlign w:val="center"/>
          </w:tcPr>
          <w:p w14:paraId="323F53B4">
            <w:pPr>
              <w:pStyle w:val="8"/>
              <w:numPr>
                <w:ilvl w:val="0"/>
                <w:numId w:val="0"/>
              </w:numPr>
              <w:spacing w:after="0"/>
              <w:ind w:left="0" w:leftChars="0" w:firstLine="0" w:firstLineChars="0"/>
              <w:jc w:val="center"/>
              <w:rPr>
                <w:rFonts w:hint="default" w:ascii="仿宋" w:hAnsi="仿宋" w:eastAsia="仿宋" w:cs="仿宋"/>
                <w:bCs/>
                <w:color w:val="auto"/>
                <w:kern w:val="2"/>
                <w:sz w:val="28"/>
                <w:szCs w:val="28"/>
                <w:u w:val="single"/>
                <w:lang w:val="en-US" w:eastAsia="zh-CN" w:bidi="ar-SA"/>
              </w:rPr>
            </w:pPr>
            <w:r>
              <w:rPr>
                <w:rFonts w:hint="eastAsia" w:ascii="仿宋" w:hAnsi="仿宋" w:eastAsia="仿宋" w:cs="仿宋"/>
                <w:bCs/>
                <w:color w:val="auto"/>
                <w:kern w:val="2"/>
                <w:sz w:val="28"/>
                <w:szCs w:val="28"/>
                <w:lang w:val="en-US" w:eastAsia="zh-CN" w:bidi="ar-SA"/>
              </w:rPr>
              <w:t>大写总价（元）：</w:t>
            </w:r>
            <w:r>
              <w:rPr>
                <w:rFonts w:hint="eastAsia" w:ascii="仿宋" w:hAnsi="仿宋" w:eastAsia="仿宋" w:cs="仿宋"/>
                <w:bCs/>
                <w:color w:val="auto"/>
                <w:kern w:val="2"/>
                <w:sz w:val="28"/>
                <w:szCs w:val="28"/>
                <w:u w:val="single"/>
                <w:lang w:val="en-US" w:eastAsia="zh-CN" w:bidi="ar-SA"/>
              </w:rPr>
              <w:t xml:space="preserve">            </w:t>
            </w:r>
          </w:p>
        </w:tc>
      </w:tr>
    </w:tbl>
    <w:p w14:paraId="53C5F51C">
      <w:pPr>
        <w:pStyle w:val="8"/>
        <w:rPr>
          <w:rFonts w:hint="default" w:ascii="仿宋" w:hAnsi="仿宋" w:eastAsia="仿宋" w:cs="Times New Roman"/>
          <w:color w:val="auto"/>
          <w:kern w:val="2"/>
          <w:sz w:val="28"/>
          <w:szCs w:val="28"/>
          <w:lang w:val="en-US" w:eastAsia="zh-CN" w:bidi="ar-SA"/>
        </w:rPr>
      </w:pPr>
    </w:p>
    <w:p w14:paraId="6CD52CA9">
      <w:pPr>
        <w:rPr>
          <w:rFonts w:hint="default" w:ascii="仿宋" w:hAnsi="仿宋" w:eastAsia="仿宋" w:cs="Times New Roman"/>
          <w:color w:val="auto"/>
          <w:kern w:val="2"/>
          <w:sz w:val="28"/>
          <w:szCs w:val="28"/>
          <w:lang w:val="en-US" w:eastAsia="zh-CN" w:bidi="ar-SA"/>
        </w:rPr>
      </w:pPr>
      <w:r>
        <w:rPr>
          <w:rFonts w:hint="eastAsia" w:ascii="仿宋" w:hAnsi="仿宋" w:eastAsia="仿宋" w:cs="Times New Roman"/>
          <w:color w:val="auto"/>
          <w:kern w:val="2"/>
          <w:sz w:val="28"/>
          <w:szCs w:val="28"/>
          <w:lang w:val="en-US" w:eastAsia="zh-CN" w:bidi="ar-SA"/>
        </w:rPr>
        <w:t>备注：1、</w:t>
      </w:r>
      <w:r>
        <w:rPr>
          <w:rFonts w:hint="eastAsia" w:ascii="仿宋" w:hAnsi="仿宋" w:eastAsia="仿宋" w:cs="仿宋"/>
          <w:color w:val="auto"/>
          <w:sz w:val="28"/>
          <w:szCs w:val="28"/>
          <w:lang w:val="en-US" w:eastAsia="zh-CN"/>
        </w:rPr>
        <w:t>可提供单包或多包报价、按分包整体报价不可漏报，每包报价须分开单独密封、否则视为无效报价；2、</w:t>
      </w:r>
      <w:r>
        <w:rPr>
          <w:rFonts w:hint="eastAsia" w:ascii="仿宋" w:hAnsi="仿宋" w:eastAsia="仿宋" w:cs="Times New Roman"/>
          <w:color w:val="auto"/>
          <w:kern w:val="2"/>
          <w:sz w:val="28"/>
          <w:szCs w:val="28"/>
          <w:lang w:val="en-US" w:eastAsia="zh-CN" w:bidi="ar-SA"/>
        </w:rPr>
        <w:t>报价表如有列举项目不全的，各报价公司可以在原表上添项，不能改变原表格内容。报价合计总价在列表末汇总，最多保留小数点后两位，此报价单须盖公章单独密封。</w:t>
      </w:r>
    </w:p>
    <w:p w14:paraId="067E72F9">
      <w:pPr>
        <w:pStyle w:val="8"/>
        <w:rPr>
          <w:rFonts w:hint="default" w:ascii="仿宋" w:hAnsi="仿宋" w:eastAsia="仿宋" w:cs="Times New Roman"/>
          <w:color w:val="auto"/>
          <w:kern w:val="2"/>
          <w:sz w:val="28"/>
          <w:szCs w:val="28"/>
          <w:lang w:val="en-US" w:eastAsia="zh-CN" w:bidi="ar-SA"/>
        </w:rPr>
      </w:pPr>
    </w:p>
    <w:p w14:paraId="02E8DD3C">
      <w:pPr>
        <w:rPr>
          <w:rFonts w:hint="default" w:ascii="仿宋" w:hAnsi="仿宋" w:eastAsia="仿宋" w:cs="Times New Roman"/>
          <w:color w:val="auto"/>
          <w:kern w:val="2"/>
          <w:sz w:val="28"/>
          <w:szCs w:val="28"/>
          <w:lang w:val="en-US" w:eastAsia="zh-CN" w:bidi="ar-SA"/>
        </w:rPr>
      </w:pPr>
    </w:p>
    <w:p w14:paraId="366E3101">
      <w:pPr>
        <w:rPr>
          <w:rFonts w:hint="default" w:ascii="仿宋" w:hAnsi="仿宋" w:eastAsia="仿宋" w:cs="Times New Roman"/>
          <w:color w:val="auto"/>
          <w:kern w:val="2"/>
          <w:sz w:val="28"/>
          <w:szCs w:val="28"/>
          <w:lang w:val="en-US" w:eastAsia="zh-CN" w:bidi="ar-SA"/>
        </w:rPr>
      </w:pPr>
    </w:p>
    <w:p w14:paraId="02C9C808">
      <w:pPr>
        <w:pStyle w:val="8"/>
        <w:rPr>
          <w:rFonts w:hint="default"/>
          <w:lang w:val="en-US" w:eastAsia="zh-CN"/>
        </w:rPr>
      </w:pPr>
    </w:p>
    <w:p w14:paraId="6B89FFBB">
      <w:pPr>
        <w:jc w:val="left"/>
        <w:rPr>
          <w:rFonts w:hint="eastAsia" w:ascii="仿宋" w:hAnsi="仿宋" w:eastAsia="仿宋" w:cs="Times New Roman"/>
          <w:color w:val="auto"/>
          <w:kern w:val="2"/>
          <w:sz w:val="28"/>
          <w:szCs w:val="28"/>
          <w:lang w:val="en-US" w:eastAsia="zh-CN" w:bidi="ar-SA"/>
        </w:rPr>
      </w:pPr>
    </w:p>
    <w:p w14:paraId="3D7B3ECD">
      <w:pPr>
        <w:pStyle w:val="8"/>
        <w:rPr>
          <w:rFonts w:hint="eastAsia"/>
          <w:lang w:val="en-US" w:eastAsia="zh-CN"/>
        </w:rPr>
      </w:pPr>
    </w:p>
    <w:p w14:paraId="2DC09B68">
      <w:pPr>
        <w:rPr>
          <w:rFonts w:hint="eastAsia"/>
          <w:lang w:val="en-US" w:eastAsia="zh-CN"/>
        </w:rPr>
      </w:pPr>
    </w:p>
    <w:p w14:paraId="2C6EC93D">
      <w:pPr>
        <w:spacing w:line="360" w:lineRule="auto"/>
        <w:outlineLvl w:val="1"/>
        <w:rPr>
          <w:rFonts w:hint="eastAsia" w:ascii="仿宋" w:hAnsi="仿宋" w:eastAsia="仿宋" w:cs="仿宋"/>
          <w:b/>
          <w:bCs/>
          <w:color w:val="auto"/>
          <w:kern w:val="2"/>
          <w:sz w:val="32"/>
          <w:szCs w:val="32"/>
          <w:lang w:val="en-US" w:eastAsia="zh-CN" w:bidi="ar-SA"/>
        </w:rPr>
      </w:pPr>
    </w:p>
    <w:p w14:paraId="7CD7437B">
      <w:pPr>
        <w:spacing w:line="360" w:lineRule="auto"/>
        <w:outlineLvl w:val="1"/>
        <w:rPr>
          <w:rFonts w:hint="eastAsia" w:ascii="仿宋" w:hAnsi="仿宋" w:eastAsia="仿宋" w:cs="仿宋"/>
          <w:b/>
          <w:bCs/>
          <w:color w:val="auto"/>
          <w:kern w:val="2"/>
          <w:sz w:val="32"/>
          <w:szCs w:val="32"/>
          <w:lang w:val="en-US" w:eastAsia="zh-CN" w:bidi="ar-SA"/>
        </w:rPr>
      </w:pPr>
    </w:p>
    <w:p w14:paraId="4DE49AE7">
      <w:pPr>
        <w:spacing w:line="360" w:lineRule="auto"/>
        <w:outlineLvl w:val="1"/>
        <w:rPr>
          <w:color w:val="auto"/>
        </w:rPr>
      </w:pPr>
      <w:bookmarkStart w:id="2" w:name="_GoBack"/>
      <w:bookmarkEnd w:id="2"/>
      <w:r>
        <w:rPr>
          <w:rFonts w:hint="eastAsia" w:ascii="仿宋" w:hAnsi="仿宋" w:eastAsia="仿宋" w:cs="仿宋"/>
          <w:b/>
          <w:bCs/>
          <w:color w:val="auto"/>
          <w:kern w:val="2"/>
          <w:sz w:val="32"/>
          <w:szCs w:val="32"/>
          <w:lang w:val="en-US" w:eastAsia="zh-CN" w:bidi="ar-SA"/>
        </w:rPr>
        <w:t>附件3 ：报名登记表</w:t>
      </w:r>
    </w:p>
    <w:p w14:paraId="1CB0F954">
      <w:pPr>
        <w:jc w:val="center"/>
        <w:rPr>
          <w:rFonts w:ascii="华文中宋" w:hAnsi="华文中宋" w:eastAsia="华文中宋"/>
          <w:b/>
          <w:color w:val="auto"/>
          <w:sz w:val="36"/>
          <w:szCs w:val="36"/>
        </w:rPr>
      </w:pPr>
      <w:r>
        <w:rPr>
          <w:rFonts w:hint="eastAsia" w:ascii="华文中宋" w:hAnsi="华文中宋" w:eastAsia="华文中宋"/>
          <w:b/>
          <w:color w:val="auto"/>
          <w:sz w:val="36"/>
          <w:szCs w:val="36"/>
        </w:rPr>
        <w:t>报名登记表</w:t>
      </w:r>
    </w:p>
    <w:p w14:paraId="6703C737">
      <w:pPr>
        <w:rPr>
          <w:color w:val="auto"/>
        </w:rPr>
      </w:pPr>
    </w:p>
    <w:tbl>
      <w:tblPr>
        <w:tblStyle w:val="20"/>
        <w:tblW w:w="943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1980"/>
        <w:gridCol w:w="1440"/>
        <w:gridCol w:w="2592"/>
      </w:tblGrid>
      <w:tr w14:paraId="564B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9C93E7">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报名项目名称（包号）</w:t>
            </w:r>
          </w:p>
        </w:tc>
        <w:tc>
          <w:tcPr>
            <w:tcW w:w="6012" w:type="dxa"/>
            <w:gridSpan w:val="3"/>
            <w:tcBorders>
              <w:top w:val="single" w:color="auto" w:sz="4" w:space="0"/>
              <w:left w:val="single" w:color="auto" w:sz="4" w:space="0"/>
              <w:bottom w:val="single" w:color="auto" w:sz="4" w:space="0"/>
              <w:right w:val="single" w:color="auto" w:sz="4" w:space="0"/>
            </w:tcBorders>
            <w:noWrap w:val="0"/>
            <w:vAlign w:val="center"/>
          </w:tcPr>
          <w:p w14:paraId="1F1B3E31">
            <w:pPr>
              <w:jc w:val="center"/>
              <w:rPr>
                <w:rFonts w:ascii="仿宋" w:hAnsi="仿宋" w:eastAsia="仿宋"/>
                <w:color w:val="auto"/>
                <w:kern w:val="2"/>
                <w:sz w:val="28"/>
                <w:szCs w:val="28"/>
              </w:rPr>
            </w:pPr>
            <w:r>
              <w:rPr>
                <w:rFonts w:hint="eastAsia" w:ascii="仿宋" w:hAnsi="仿宋" w:eastAsia="仿宋" w:cs="仿宋"/>
                <w:color w:val="000000"/>
                <w:sz w:val="28"/>
                <w:szCs w:val="28"/>
                <w:lang w:val="en-US" w:eastAsia="zh-CN"/>
              </w:rPr>
              <w:t>成都市新津区中医医院DRG、院感系统运维及传染病前置软件数据质量提升采购项目询预算价（</w:t>
            </w:r>
            <w:r>
              <w:rPr>
                <w:rFonts w:hint="eastAsia" w:ascii="仿宋" w:hAnsi="仿宋" w:eastAsia="仿宋" w:cs="仿宋"/>
                <w:color w:val="FF0000"/>
                <w:sz w:val="28"/>
                <w:szCs w:val="28"/>
                <w:lang w:val="en-US" w:eastAsia="zh-CN"/>
              </w:rPr>
              <w:t>包x</w:t>
            </w:r>
            <w:r>
              <w:rPr>
                <w:rFonts w:hint="eastAsia" w:ascii="仿宋" w:hAnsi="仿宋" w:eastAsia="仿宋" w:cs="仿宋"/>
                <w:color w:val="000000"/>
                <w:sz w:val="28"/>
                <w:szCs w:val="28"/>
                <w:lang w:val="en-US" w:eastAsia="zh-CN"/>
              </w:rPr>
              <w:t>）</w:t>
            </w:r>
          </w:p>
        </w:tc>
      </w:tr>
      <w:tr w14:paraId="6E50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207ACA0C">
            <w:pPr>
              <w:ind w:firstLine="280" w:firstLineChars="100"/>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报名单位 /个人名称</w:t>
            </w:r>
          </w:p>
          <w:p w14:paraId="5A522581">
            <w:pPr>
              <w:ind w:firstLine="236" w:firstLineChars="98"/>
              <w:rPr>
                <w:rFonts w:ascii="仿宋" w:hAnsi="仿宋" w:eastAsia="仿宋"/>
                <w:b/>
                <w:color w:val="auto"/>
                <w:kern w:val="2"/>
                <w:sz w:val="24"/>
                <w:szCs w:val="24"/>
              </w:rPr>
            </w:pPr>
            <w:r>
              <w:rPr>
                <w:rFonts w:hint="eastAsia" w:ascii="仿宋" w:hAnsi="仿宋" w:eastAsia="仿宋"/>
                <w:b/>
                <w:color w:val="auto"/>
                <w:kern w:val="2"/>
                <w:sz w:val="24"/>
              </w:rPr>
              <w:t>(统一社会信用代码/税号)</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9B5935A">
            <w:pPr>
              <w:jc w:val="center"/>
              <w:rPr>
                <w:rFonts w:hint="default" w:ascii="仿宋" w:hAnsi="仿宋" w:eastAsia="仿宋"/>
                <w:color w:val="auto"/>
                <w:kern w:val="2"/>
                <w:sz w:val="28"/>
                <w:szCs w:val="28"/>
                <w:lang w:val="en-US" w:eastAsia="zh-CN"/>
              </w:rPr>
            </w:pPr>
            <w:r>
              <w:rPr>
                <w:rFonts w:hint="eastAsia"/>
                <w:color w:val="auto"/>
                <w:kern w:val="2"/>
                <w:sz w:val="28"/>
                <w:szCs w:val="28"/>
                <w:lang w:val="en-US" w:eastAsia="zh-CN"/>
              </w:rPr>
              <w:t xml:space="preserve">                              </w:t>
            </w:r>
            <w:r>
              <w:rPr>
                <w:rFonts w:hint="eastAsia" w:ascii="仿宋" w:hAnsi="仿宋" w:eastAsia="仿宋" w:cs="仿宋"/>
                <w:color w:val="auto"/>
                <w:kern w:val="2"/>
                <w:sz w:val="28"/>
                <w:szCs w:val="28"/>
                <w:lang w:val="en-US" w:eastAsia="zh-CN" w:bidi="ar-SA"/>
              </w:rPr>
              <w:t>（盖章）</w:t>
            </w:r>
          </w:p>
        </w:tc>
      </w:tr>
      <w:tr w14:paraId="0F82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4779351F">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单位  / 个人地址</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B27106C">
            <w:pPr>
              <w:jc w:val="center"/>
              <w:rPr>
                <w:rFonts w:ascii="仿宋" w:hAnsi="仿宋" w:eastAsia="仿宋"/>
                <w:color w:val="auto"/>
                <w:kern w:val="2"/>
                <w:sz w:val="28"/>
                <w:szCs w:val="28"/>
              </w:rPr>
            </w:pPr>
          </w:p>
        </w:tc>
      </w:tr>
      <w:tr w14:paraId="1CF5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D3E3605">
            <w:pPr>
              <w:jc w:val="center"/>
              <w:rPr>
                <w:rFonts w:hint="eastAsia" w:ascii="仿宋" w:hAnsi="仿宋" w:eastAsia="仿宋"/>
                <w:color w:val="auto"/>
                <w:kern w:val="2"/>
                <w:sz w:val="28"/>
                <w:szCs w:val="28"/>
                <w:lang w:eastAsia="zh-CN"/>
              </w:rPr>
            </w:pPr>
            <w:r>
              <w:rPr>
                <w:rFonts w:hint="eastAsia" w:ascii="仿宋" w:hAnsi="仿宋" w:eastAsia="仿宋"/>
                <w:color w:val="auto"/>
                <w:kern w:val="2"/>
                <w:sz w:val="28"/>
                <w:szCs w:val="28"/>
              </w:rPr>
              <w:t>单位电话</w:t>
            </w:r>
            <w:r>
              <w:rPr>
                <w:rFonts w:hint="eastAsia" w:ascii="仿宋" w:hAnsi="仿宋" w:eastAsia="仿宋"/>
                <w:color w:val="auto"/>
                <w:kern w:val="2"/>
                <w:sz w:val="24"/>
              </w:rPr>
              <w:t xml:space="preserve"> </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71FE593">
            <w:pPr>
              <w:rPr>
                <w:rFonts w:ascii="仿宋" w:hAnsi="仿宋" w:eastAsia="仿宋"/>
                <w:color w:val="auto"/>
                <w:kern w:val="2"/>
                <w:sz w:val="24"/>
                <w:szCs w:val="24"/>
              </w:rPr>
            </w:pPr>
          </w:p>
        </w:tc>
      </w:tr>
      <w:tr w14:paraId="69C1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19351CC">
            <w:pPr>
              <w:jc w:val="center"/>
              <w:rPr>
                <w:rFonts w:ascii="仿宋" w:hAnsi="仿宋" w:eastAsia="仿宋"/>
                <w:color w:val="auto"/>
                <w:kern w:val="2"/>
                <w:sz w:val="28"/>
                <w:szCs w:val="28"/>
              </w:rPr>
            </w:pPr>
            <w:r>
              <w:rPr>
                <w:rFonts w:hint="eastAsia"/>
                <w:color w:val="auto"/>
                <w:kern w:val="2"/>
                <w:sz w:val="28"/>
                <w:szCs w:val="28"/>
                <w:lang w:val="en-US" w:eastAsia="zh-CN"/>
              </w:rPr>
              <w:t>*经办</w:t>
            </w:r>
            <w:r>
              <w:rPr>
                <w:rFonts w:hint="eastAsia" w:ascii="仿宋" w:hAnsi="仿宋" w:eastAsia="仿宋"/>
                <w:color w:val="auto"/>
                <w:kern w:val="2"/>
                <w:sz w:val="28"/>
                <w:szCs w:val="28"/>
              </w:rPr>
              <w:t>联系人</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2BBFFFE">
            <w:pPr>
              <w:jc w:val="center"/>
              <w:rPr>
                <w:rFonts w:ascii="仿宋" w:hAnsi="仿宋" w:eastAsia="仿宋"/>
                <w:color w:val="auto"/>
                <w:kern w:val="2"/>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1FB081A">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手 机</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6D70A98">
            <w:pPr>
              <w:jc w:val="center"/>
              <w:rPr>
                <w:rFonts w:ascii="仿宋" w:hAnsi="仿宋" w:eastAsia="仿宋"/>
                <w:color w:val="auto"/>
                <w:kern w:val="2"/>
                <w:sz w:val="28"/>
                <w:szCs w:val="28"/>
              </w:rPr>
            </w:pPr>
          </w:p>
        </w:tc>
      </w:tr>
      <w:tr w14:paraId="2F9E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678F648">
            <w:pPr>
              <w:jc w:val="center"/>
              <w:rPr>
                <w:rFonts w:ascii="仿宋" w:hAnsi="仿宋" w:eastAsia="仿宋"/>
                <w:color w:val="auto"/>
                <w:kern w:val="2"/>
                <w:sz w:val="28"/>
                <w:szCs w:val="28"/>
              </w:rPr>
            </w:pPr>
            <w:r>
              <w:rPr>
                <w:rFonts w:hint="eastAsia" w:ascii="仿宋" w:hAnsi="仿宋" w:eastAsia="仿宋"/>
                <w:color w:val="auto"/>
                <w:kern w:val="2"/>
                <w:sz w:val="28"/>
                <w:szCs w:val="28"/>
              </w:rPr>
              <w:t>邮     箱</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04B02782">
            <w:pPr>
              <w:jc w:val="center"/>
              <w:rPr>
                <w:rFonts w:ascii="仿宋" w:hAnsi="仿宋" w:eastAsia="仿宋"/>
                <w:color w:val="auto"/>
                <w:kern w:val="2"/>
                <w:sz w:val="28"/>
                <w:szCs w:val="28"/>
              </w:rPr>
            </w:pPr>
          </w:p>
        </w:tc>
      </w:tr>
      <w:tr w14:paraId="2827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5824BD">
            <w:pPr>
              <w:jc w:val="center"/>
              <w:rPr>
                <w:rFonts w:ascii="仿宋" w:hAnsi="仿宋" w:eastAsia="仿宋"/>
                <w:color w:val="auto"/>
                <w:kern w:val="2"/>
                <w:sz w:val="28"/>
                <w:szCs w:val="28"/>
              </w:rPr>
            </w:pPr>
            <w:r>
              <w:rPr>
                <w:rFonts w:hint="eastAsia" w:ascii="仿宋" w:hAnsi="仿宋" w:eastAsia="仿宋"/>
                <w:color w:val="auto"/>
                <w:kern w:val="2"/>
                <w:sz w:val="28"/>
                <w:szCs w:val="28"/>
              </w:rPr>
              <w:t>备     注</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75F028DD">
            <w:pPr>
              <w:rPr>
                <w:rFonts w:ascii="仿宋" w:hAnsi="仿宋" w:eastAsia="仿宋"/>
                <w:color w:val="auto"/>
                <w:kern w:val="2"/>
                <w:sz w:val="28"/>
                <w:szCs w:val="28"/>
              </w:rPr>
            </w:pPr>
          </w:p>
        </w:tc>
      </w:tr>
    </w:tbl>
    <w:p w14:paraId="6958CC41">
      <w:pPr>
        <w:jc w:val="center"/>
        <w:rPr>
          <w:rFonts w:ascii="Times New Roman"/>
          <w:color w:val="auto"/>
          <w:kern w:val="2"/>
          <w:sz w:val="21"/>
        </w:rPr>
      </w:pPr>
    </w:p>
    <w:p w14:paraId="341C63C1">
      <w:pPr>
        <w:spacing w:line="360" w:lineRule="auto"/>
        <w:rPr>
          <w:rFonts w:hint="default" w:ascii="仿宋" w:hAnsi="仿宋" w:eastAsia="仿宋" w:cs="Times New Roman"/>
          <w:color w:val="auto"/>
          <w:sz w:val="24"/>
          <w:szCs w:val="24"/>
          <w:lang w:val="en-US" w:eastAsia="zh-CN"/>
        </w:rPr>
      </w:pPr>
      <w:r>
        <w:rPr>
          <w:rFonts w:hint="eastAsia" w:ascii="仿宋" w:hAnsi="仿宋" w:eastAsia="仿宋" w:cs="Times New Roman"/>
          <w:color w:val="auto"/>
          <w:sz w:val="24"/>
          <w:szCs w:val="24"/>
        </w:rPr>
        <w:t xml:space="preserve">    </w:t>
      </w:r>
      <w:r>
        <w:rPr>
          <w:rFonts w:hint="eastAsia" w:ascii="仿宋" w:hAnsi="仿宋" w:eastAsia="仿宋" w:cs="Times New Roman"/>
          <w:color w:val="auto"/>
          <w:sz w:val="24"/>
          <w:szCs w:val="24"/>
          <w:lang w:eastAsia="zh-CN"/>
        </w:rPr>
        <w:t>采购单位联系人：</w:t>
      </w:r>
      <w:r>
        <w:rPr>
          <w:rFonts w:hint="eastAsia" w:ascii="仿宋" w:hAnsi="仿宋" w:eastAsia="仿宋" w:cs="Times New Roman"/>
          <w:color w:val="auto"/>
          <w:sz w:val="24"/>
          <w:szCs w:val="24"/>
          <w:lang w:val="en-US" w:eastAsia="zh-CN"/>
        </w:rPr>
        <w:t>潘老师、周</w:t>
      </w:r>
      <w:r>
        <w:rPr>
          <w:rFonts w:hint="eastAsia" w:ascii="仿宋" w:hAnsi="仿宋" w:eastAsia="仿宋" w:cs="Times New Roman"/>
          <w:color w:val="auto"/>
          <w:sz w:val="24"/>
          <w:szCs w:val="24"/>
          <w:lang w:eastAsia="zh-CN"/>
        </w:rPr>
        <w:t>老师</w:t>
      </w:r>
      <w:r>
        <w:rPr>
          <w:rFonts w:hint="eastAsia" w:ascii="仿宋" w:hAnsi="仿宋" w:eastAsia="仿宋" w:cs="Times New Roman"/>
          <w:color w:val="auto"/>
          <w:sz w:val="24"/>
          <w:szCs w:val="24"/>
          <w:lang w:val="en-US" w:eastAsia="zh-CN"/>
        </w:rPr>
        <w:t xml:space="preserve"> 028-82526150</w:t>
      </w:r>
      <w:r>
        <w:rPr>
          <w:rFonts w:hint="eastAsia" w:ascii="仿宋" w:hAnsi="仿宋" w:eastAsia="仿宋" w:cs="Times New Roman"/>
          <w:color w:val="auto"/>
          <w:sz w:val="24"/>
          <w:szCs w:val="24"/>
          <w:lang w:eastAsia="zh-CN"/>
        </w:rPr>
        <w:t>，</w:t>
      </w:r>
      <w:r>
        <w:rPr>
          <w:rFonts w:hint="eastAsia" w:ascii="仿宋" w:hAnsi="仿宋" w:eastAsia="仿宋" w:cs="Times New Roman"/>
          <w:color w:val="auto"/>
          <w:sz w:val="24"/>
          <w:szCs w:val="24"/>
          <w:lang w:val="en-US" w:eastAsia="zh-CN"/>
        </w:rPr>
        <w:t>邮箱845865477@qq.com</w:t>
      </w:r>
    </w:p>
    <w:p w14:paraId="49E02950">
      <w:pPr>
        <w:spacing w:line="360" w:lineRule="auto"/>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lang w:val="en-US" w:eastAsia="zh-CN"/>
        </w:rPr>
        <w:t>注:提供（1）报名登记表扫描件（2）投标单位营业执照正、副本复印件（3）</w:t>
      </w:r>
      <w:r>
        <w:rPr>
          <w:rFonts w:hint="eastAsia" w:ascii="仿宋" w:hAnsi="仿宋" w:eastAsia="仿宋" w:cs="仿宋"/>
          <w:color w:val="auto"/>
          <w:sz w:val="24"/>
          <w:szCs w:val="24"/>
          <w:lang w:val="en-US" w:eastAsia="zh-CN"/>
        </w:rPr>
        <w:t>法人和授权委托人证明文件</w:t>
      </w:r>
      <w:r>
        <w:rPr>
          <w:rFonts w:hint="eastAsia" w:ascii="仿宋" w:hAnsi="仿宋" w:eastAsia="仿宋" w:cs="Times New Roman"/>
          <w:color w:val="auto"/>
          <w:sz w:val="24"/>
          <w:szCs w:val="24"/>
          <w:lang w:val="en-US" w:eastAsia="zh-CN"/>
        </w:rPr>
        <w:t>（以上三条均需加盖供应商公章，提供扫描至以上邮箱）（4）</w:t>
      </w:r>
      <w:r>
        <w:rPr>
          <w:rFonts w:hint="eastAsia" w:ascii="仿宋" w:hAnsi="仿宋" w:eastAsia="仿宋" w:cs="Times New Roman"/>
          <w:color w:val="auto"/>
          <w:sz w:val="24"/>
          <w:szCs w:val="24"/>
          <w:highlight w:val="none"/>
          <w:lang w:val="en-US" w:eastAsia="zh-CN"/>
        </w:rPr>
        <w:t>递交响应文件时，把以上3项资料盖章资料一并递交，此3项资料无需密封。</w:t>
      </w:r>
    </w:p>
    <w:p w14:paraId="3792C5C9">
      <w:pPr>
        <w:spacing w:line="360" w:lineRule="auto"/>
        <w:rPr>
          <w:color w:val="auto"/>
        </w:rPr>
      </w:pPr>
      <w:r>
        <w:rPr>
          <w:rFonts w:hint="eastAsia" w:ascii="仿宋" w:hAnsi="仿宋" w:eastAsia="仿宋" w:cs="Times New Roman"/>
          <w:color w:val="auto"/>
          <w:sz w:val="24"/>
          <w:szCs w:val="24"/>
          <w:lang w:eastAsia="zh-CN"/>
        </w:rPr>
        <w:t>投标单位购买招标文件时请如实认真填写报名登记表和投标人信息；若因投标单位提供的错误或不实信息，对其投标事宜造成影响的，由其投标单位自行承担所有责任。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941C5C-B475-4593-A0A9-339C77D3CF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2" w:fontKey="{D366062A-A1AE-4067-8B74-D25AD9DE8B04}"/>
  </w:font>
  <w:font w:name="仿宋_GB2312">
    <w:panose1 w:val="02010609030101010101"/>
    <w:charset w:val="86"/>
    <w:family w:val="modern"/>
    <w:pitch w:val="default"/>
    <w:sig w:usb0="00000001" w:usb1="080E0000" w:usb2="00000000" w:usb3="00000000" w:csb0="00040000" w:csb1="00000000"/>
    <w:embedRegular r:id="rId3" w:fontKey="{61731FC8-1E90-40E6-A524-5C42F9E1EE3F}"/>
  </w:font>
  <w:font w:name="华文中宋">
    <w:panose1 w:val="02010600040101010101"/>
    <w:charset w:val="86"/>
    <w:family w:val="auto"/>
    <w:pitch w:val="default"/>
    <w:sig w:usb0="00000287" w:usb1="080F0000" w:usb2="00000000" w:usb3="00000000" w:csb0="0004009F" w:csb1="DFD70000"/>
    <w:embedRegular r:id="rId4" w:fontKey="{24FA96AC-4BB9-4F25-AB61-D394DFD4C091}"/>
  </w:font>
  <w:font w:name="WPSEMBED1">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4B304">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D1E8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FD1E81">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82E0D0"/>
    <w:multiLevelType w:val="singleLevel"/>
    <w:tmpl w:val="9E82E0D0"/>
    <w:lvl w:ilvl="0" w:tentative="0">
      <w:start w:val="1"/>
      <w:numFmt w:val="decimal"/>
      <w:lvlText w:val="%1."/>
      <w:lvlJc w:val="left"/>
      <w:pPr>
        <w:tabs>
          <w:tab w:val="left" w:pos="312"/>
        </w:tabs>
      </w:pPr>
    </w:lvl>
  </w:abstractNum>
  <w:abstractNum w:abstractNumId="1">
    <w:nsid w:val="A17E4A69"/>
    <w:multiLevelType w:val="singleLevel"/>
    <w:tmpl w:val="A17E4A69"/>
    <w:lvl w:ilvl="0" w:tentative="0">
      <w:start w:val="2"/>
      <w:numFmt w:val="decimal"/>
      <w:suff w:val="nothing"/>
      <w:lvlText w:val="%1、"/>
      <w:lvlJc w:val="left"/>
    </w:lvl>
  </w:abstractNum>
  <w:abstractNum w:abstractNumId="2">
    <w:nsid w:val="A50A8DDE"/>
    <w:multiLevelType w:val="singleLevel"/>
    <w:tmpl w:val="A50A8DDE"/>
    <w:lvl w:ilvl="0" w:tentative="0">
      <w:start w:val="1"/>
      <w:numFmt w:val="decimal"/>
      <w:lvlText w:val="%1."/>
      <w:lvlJc w:val="left"/>
      <w:pPr>
        <w:tabs>
          <w:tab w:val="left" w:pos="312"/>
        </w:tabs>
      </w:pPr>
    </w:lvl>
  </w:abstractNum>
  <w:abstractNum w:abstractNumId="3">
    <w:nsid w:val="D0E1CD5C"/>
    <w:multiLevelType w:val="singleLevel"/>
    <w:tmpl w:val="D0E1CD5C"/>
    <w:lvl w:ilvl="0" w:tentative="0">
      <w:start w:val="1"/>
      <w:numFmt w:val="decimal"/>
      <w:lvlText w:val="(%1)"/>
      <w:lvlJc w:val="left"/>
      <w:pPr>
        <w:tabs>
          <w:tab w:val="left" w:pos="420"/>
        </w:tabs>
        <w:ind w:left="845" w:hanging="425"/>
      </w:pPr>
      <w:rPr>
        <w:rFonts w:hint="default"/>
      </w:rPr>
    </w:lvl>
  </w:abstractNum>
  <w:abstractNum w:abstractNumId="4">
    <w:nsid w:val="DABF550D"/>
    <w:multiLevelType w:val="singleLevel"/>
    <w:tmpl w:val="DABF550D"/>
    <w:lvl w:ilvl="0" w:tentative="0">
      <w:start w:val="1"/>
      <w:numFmt w:val="decimal"/>
      <w:suff w:val="nothing"/>
      <w:lvlText w:val="%1、"/>
      <w:lvlJc w:val="left"/>
    </w:lvl>
  </w:abstractNum>
  <w:abstractNum w:abstractNumId="5">
    <w:nsid w:val="DB046900"/>
    <w:multiLevelType w:val="singleLevel"/>
    <w:tmpl w:val="DB046900"/>
    <w:lvl w:ilvl="0" w:tentative="0">
      <w:start w:val="1"/>
      <w:numFmt w:val="bullet"/>
      <w:lvlText w:val="•"/>
      <w:lvlJc w:val="left"/>
      <w:pPr>
        <w:ind w:left="0" w:firstLine="454"/>
      </w:pPr>
    </w:lvl>
  </w:abstractNum>
  <w:abstractNum w:abstractNumId="6">
    <w:nsid w:val="E71DA5CC"/>
    <w:multiLevelType w:val="singleLevel"/>
    <w:tmpl w:val="E71DA5CC"/>
    <w:lvl w:ilvl="0" w:tentative="0">
      <w:start w:val="1"/>
      <w:numFmt w:val="bullet"/>
      <w:lvlText w:val=""/>
      <w:lvlJc w:val="left"/>
      <w:pPr>
        <w:ind w:left="420" w:hanging="420"/>
      </w:pPr>
      <w:rPr>
        <w:rFonts w:hint="default" w:ascii="Wingdings" w:hAnsi="Wingdings"/>
      </w:rPr>
    </w:lvl>
  </w:abstractNum>
  <w:abstractNum w:abstractNumId="7">
    <w:nsid w:val="E915BAB7"/>
    <w:multiLevelType w:val="singleLevel"/>
    <w:tmpl w:val="E915BAB7"/>
    <w:lvl w:ilvl="0" w:tentative="0">
      <w:start w:val="1"/>
      <w:numFmt w:val="decimal"/>
      <w:suff w:val="nothing"/>
      <w:lvlText w:val="%1、"/>
      <w:lvlJc w:val="left"/>
    </w:lvl>
  </w:abstractNum>
  <w:abstractNum w:abstractNumId="8">
    <w:nsid w:val="FF4E4C7A"/>
    <w:multiLevelType w:val="singleLevel"/>
    <w:tmpl w:val="FF4E4C7A"/>
    <w:lvl w:ilvl="0" w:tentative="0">
      <w:start w:val="1"/>
      <w:numFmt w:val="decimal"/>
      <w:suff w:val="nothing"/>
      <w:lvlText w:val="%1、"/>
      <w:lvlJc w:val="left"/>
    </w:lvl>
  </w:abstractNum>
  <w:abstractNum w:abstractNumId="9">
    <w:nsid w:val="FFAFF15D"/>
    <w:multiLevelType w:val="singleLevel"/>
    <w:tmpl w:val="FFAFF15D"/>
    <w:lvl w:ilvl="0" w:tentative="0">
      <w:start w:val="1"/>
      <w:numFmt w:val="decimal"/>
      <w:suff w:val="nothing"/>
      <w:lvlText w:val="%1、"/>
      <w:lvlJc w:val="left"/>
    </w:lvl>
  </w:abstractNum>
  <w:num w:numId="1">
    <w:abstractNumId w:val="0"/>
  </w:num>
  <w:num w:numId="2">
    <w:abstractNumId w:val="3"/>
  </w:num>
  <w:num w:numId="3">
    <w:abstractNumId w:val="7"/>
  </w:num>
  <w:num w:numId="4">
    <w:abstractNumId w:val="9"/>
  </w:num>
  <w:num w:numId="5">
    <w:abstractNumId w:val="8"/>
  </w:num>
  <w:num w:numId="6">
    <w:abstractNumId w:val="4"/>
  </w:num>
  <w:num w:numId="7">
    <w:abstractNumId w:val="5"/>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MzNiN2U5MGRhMmFkMmQwZmU4Y2JkNjJlMjQ4YTMifQ=="/>
  </w:docVars>
  <w:rsids>
    <w:rsidRoot w:val="00000000"/>
    <w:rsid w:val="01C70091"/>
    <w:rsid w:val="037574EA"/>
    <w:rsid w:val="03C14F9B"/>
    <w:rsid w:val="06140401"/>
    <w:rsid w:val="0687062B"/>
    <w:rsid w:val="07543E0A"/>
    <w:rsid w:val="081A4D48"/>
    <w:rsid w:val="083420ED"/>
    <w:rsid w:val="08B35707"/>
    <w:rsid w:val="08F2390F"/>
    <w:rsid w:val="097B39EB"/>
    <w:rsid w:val="0A0B3C41"/>
    <w:rsid w:val="0A9B3267"/>
    <w:rsid w:val="0B5918E5"/>
    <w:rsid w:val="0CAF61E6"/>
    <w:rsid w:val="0CD85E9D"/>
    <w:rsid w:val="0CEC01E6"/>
    <w:rsid w:val="0D5C45C0"/>
    <w:rsid w:val="109E4EEF"/>
    <w:rsid w:val="10B14879"/>
    <w:rsid w:val="11213D01"/>
    <w:rsid w:val="115A0E16"/>
    <w:rsid w:val="11E825EC"/>
    <w:rsid w:val="12042B30"/>
    <w:rsid w:val="126F67ED"/>
    <w:rsid w:val="136C3083"/>
    <w:rsid w:val="142B4CEC"/>
    <w:rsid w:val="14D42C8D"/>
    <w:rsid w:val="156D6775"/>
    <w:rsid w:val="18226BE9"/>
    <w:rsid w:val="189A41EE"/>
    <w:rsid w:val="18B340A6"/>
    <w:rsid w:val="18BB1A7C"/>
    <w:rsid w:val="190653E0"/>
    <w:rsid w:val="1918274B"/>
    <w:rsid w:val="192D5B82"/>
    <w:rsid w:val="1A0E09F0"/>
    <w:rsid w:val="1A82318C"/>
    <w:rsid w:val="1A916CD3"/>
    <w:rsid w:val="1B7C3AD4"/>
    <w:rsid w:val="1B8227E1"/>
    <w:rsid w:val="1CF00880"/>
    <w:rsid w:val="1D1502E7"/>
    <w:rsid w:val="1E5866DD"/>
    <w:rsid w:val="1F51661D"/>
    <w:rsid w:val="1FEB04EB"/>
    <w:rsid w:val="203A6AFE"/>
    <w:rsid w:val="20631E6A"/>
    <w:rsid w:val="22C02AA3"/>
    <w:rsid w:val="24036A14"/>
    <w:rsid w:val="24474C6F"/>
    <w:rsid w:val="257E6FA1"/>
    <w:rsid w:val="258E752F"/>
    <w:rsid w:val="259A0116"/>
    <w:rsid w:val="25A238C5"/>
    <w:rsid w:val="25E116AE"/>
    <w:rsid w:val="26104F2A"/>
    <w:rsid w:val="26540B17"/>
    <w:rsid w:val="28081A55"/>
    <w:rsid w:val="28215785"/>
    <w:rsid w:val="28273A3D"/>
    <w:rsid w:val="285D2B42"/>
    <w:rsid w:val="28CB21A2"/>
    <w:rsid w:val="28E76FDC"/>
    <w:rsid w:val="28EC2844"/>
    <w:rsid w:val="299F4E43"/>
    <w:rsid w:val="2A50295E"/>
    <w:rsid w:val="2AE31A25"/>
    <w:rsid w:val="2BBE3953"/>
    <w:rsid w:val="2C365B84"/>
    <w:rsid w:val="2C414E70"/>
    <w:rsid w:val="2C5F50DB"/>
    <w:rsid w:val="2CE51C0C"/>
    <w:rsid w:val="2EBA563C"/>
    <w:rsid w:val="2EE0733E"/>
    <w:rsid w:val="313733B5"/>
    <w:rsid w:val="31E57B5F"/>
    <w:rsid w:val="326C29AA"/>
    <w:rsid w:val="32DF1FDC"/>
    <w:rsid w:val="338B0EAB"/>
    <w:rsid w:val="338D4C23"/>
    <w:rsid w:val="35FA3F11"/>
    <w:rsid w:val="361433DA"/>
    <w:rsid w:val="36A24542"/>
    <w:rsid w:val="376663E7"/>
    <w:rsid w:val="37922808"/>
    <w:rsid w:val="37F331A8"/>
    <w:rsid w:val="381C22E4"/>
    <w:rsid w:val="38235ABF"/>
    <w:rsid w:val="39344DD8"/>
    <w:rsid w:val="39EE7A9E"/>
    <w:rsid w:val="3CE235AE"/>
    <w:rsid w:val="3EAD106F"/>
    <w:rsid w:val="3EAF2F70"/>
    <w:rsid w:val="402E6E46"/>
    <w:rsid w:val="40910441"/>
    <w:rsid w:val="40980764"/>
    <w:rsid w:val="41847666"/>
    <w:rsid w:val="41EE2342"/>
    <w:rsid w:val="429978DB"/>
    <w:rsid w:val="43B35B15"/>
    <w:rsid w:val="440B7D6A"/>
    <w:rsid w:val="44645BCE"/>
    <w:rsid w:val="45792516"/>
    <w:rsid w:val="459E4A6E"/>
    <w:rsid w:val="45BF6AF8"/>
    <w:rsid w:val="46856199"/>
    <w:rsid w:val="46E44703"/>
    <w:rsid w:val="47316A0D"/>
    <w:rsid w:val="47D30851"/>
    <w:rsid w:val="49154102"/>
    <w:rsid w:val="49C12AD9"/>
    <w:rsid w:val="49F81D75"/>
    <w:rsid w:val="4A0855A2"/>
    <w:rsid w:val="4B645E12"/>
    <w:rsid w:val="4C074DD7"/>
    <w:rsid w:val="4CB4191C"/>
    <w:rsid w:val="4DF96CE5"/>
    <w:rsid w:val="4E3E5621"/>
    <w:rsid w:val="4E882791"/>
    <w:rsid w:val="4F0301D8"/>
    <w:rsid w:val="4F2627F5"/>
    <w:rsid w:val="4FC9093A"/>
    <w:rsid w:val="50992D05"/>
    <w:rsid w:val="51FF2B94"/>
    <w:rsid w:val="529102F8"/>
    <w:rsid w:val="530C0109"/>
    <w:rsid w:val="533F3632"/>
    <w:rsid w:val="53857839"/>
    <w:rsid w:val="543E073D"/>
    <w:rsid w:val="55983288"/>
    <w:rsid w:val="55BF0D9E"/>
    <w:rsid w:val="55DC4A75"/>
    <w:rsid w:val="56F24C1A"/>
    <w:rsid w:val="58095D77"/>
    <w:rsid w:val="5908115A"/>
    <w:rsid w:val="594D4AA0"/>
    <w:rsid w:val="599562DD"/>
    <w:rsid w:val="5A61002F"/>
    <w:rsid w:val="5A8B5E8A"/>
    <w:rsid w:val="5B383E5D"/>
    <w:rsid w:val="5B802AD3"/>
    <w:rsid w:val="5B9F7A2E"/>
    <w:rsid w:val="5C283570"/>
    <w:rsid w:val="5CD324F3"/>
    <w:rsid w:val="5CEE378D"/>
    <w:rsid w:val="5E14253A"/>
    <w:rsid w:val="5E9C6B06"/>
    <w:rsid w:val="5F6F6E00"/>
    <w:rsid w:val="5F8F5B94"/>
    <w:rsid w:val="60E70C20"/>
    <w:rsid w:val="60F11A9E"/>
    <w:rsid w:val="61CD250B"/>
    <w:rsid w:val="621041A6"/>
    <w:rsid w:val="62976675"/>
    <w:rsid w:val="638E6572"/>
    <w:rsid w:val="64F00F67"/>
    <w:rsid w:val="65A6150C"/>
    <w:rsid w:val="66502ACA"/>
    <w:rsid w:val="66504195"/>
    <w:rsid w:val="670267B3"/>
    <w:rsid w:val="68796990"/>
    <w:rsid w:val="692F0EEA"/>
    <w:rsid w:val="69A77331"/>
    <w:rsid w:val="69FA5E67"/>
    <w:rsid w:val="6A2C3362"/>
    <w:rsid w:val="6C792A1B"/>
    <w:rsid w:val="6CAF118B"/>
    <w:rsid w:val="6CE823EB"/>
    <w:rsid w:val="6D147240"/>
    <w:rsid w:val="6D7307E1"/>
    <w:rsid w:val="6D8871EF"/>
    <w:rsid w:val="6D9B3ACA"/>
    <w:rsid w:val="6DD33414"/>
    <w:rsid w:val="6E893B0C"/>
    <w:rsid w:val="70776A9B"/>
    <w:rsid w:val="70F55EB6"/>
    <w:rsid w:val="717645B6"/>
    <w:rsid w:val="71950224"/>
    <w:rsid w:val="71DB4DBC"/>
    <w:rsid w:val="72411EEC"/>
    <w:rsid w:val="72EA3CE1"/>
    <w:rsid w:val="731665C7"/>
    <w:rsid w:val="73217EED"/>
    <w:rsid w:val="73700F48"/>
    <w:rsid w:val="742A2C87"/>
    <w:rsid w:val="74513CA5"/>
    <w:rsid w:val="74835629"/>
    <w:rsid w:val="74C05C36"/>
    <w:rsid w:val="761D53B8"/>
    <w:rsid w:val="762D016C"/>
    <w:rsid w:val="764364A0"/>
    <w:rsid w:val="767D7C04"/>
    <w:rsid w:val="78D9538A"/>
    <w:rsid w:val="794E6000"/>
    <w:rsid w:val="79C64BDE"/>
    <w:rsid w:val="7AD25AA2"/>
    <w:rsid w:val="7B6F1AE6"/>
    <w:rsid w:val="7B943A85"/>
    <w:rsid w:val="7C2330CA"/>
    <w:rsid w:val="7D9E115D"/>
    <w:rsid w:val="7E013117"/>
    <w:rsid w:val="7EDE3F45"/>
    <w:rsid w:val="7F8E0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Salutation"/>
    <w:basedOn w:val="1"/>
    <w:next w:val="1"/>
    <w:qFormat/>
    <w:uiPriority w:val="0"/>
    <w:pPr>
      <w:widowControl w:val="0"/>
      <w:jc w:val="both"/>
    </w:pPr>
    <w:rPr>
      <w:rFonts w:ascii="Calibri" w:hAnsi="Calibri" w:eastAsia="宋体" w:cs="Times New Roman"/>
      <w:kern w:val="2"/>
      <w:sz w:val="21"/>
      <w:szCs w:val="24"/>
      <w:lang w:val="en-US" w:eastAsia="zh-CN" w:bidi="ar-SA"/>
    </w:rPr>
  </w:style>
  <w:style w:type="paragraph" w:styleId="7">
    <w:name w:val="Body Text 3"/>
    <w:basedOn w:val="1"/>
    <w:unhideWhenUsed/>
    <w:qFormat/>
    <w:uiPriority w:val="99"/>
    <w:pPr>
      <w:jc w:val="center"/>
    </w:pPr>
    <w:rPr>
      <w:rFonts w:hint="eastAsia" w:hAnsi="Symbol"/>
      <w:sz w:val="10"/>
      <w:szCs w:val="24"/>
    </w:rPr>
  </w:style>
  <w:style w:type="paragraph" w:styleId="8">
    <w:name w:val="Body Text"/>
    <w:basedOn w:val="1"/>
    <w:next w:val="1"/>
    <w:qFormat/>
    <w:uiPriority w:val="99"/>
    <w:pPr>
      <w:spacing w:after="120"/>
    </w:pPr>
    <w:rPr>
      <w:rFonts w:ascii="宋体" w:hAnsi="Times New Roman"/>
      <w:kern w:val="0"/>
      <w:sz w:val="34"/>
      <w:szCs w:val="20"/>
    </w:rPr>
  </w:style>
  <w:style w:type="paragraph" w:styleId="9">
    <w:name w:val="Body Text Indent"/>
    <w:basedOn w:val="1"/>
    <w:qFormat/>
    <w:uiPriority w:val="0"/>
    <w:pPr>
      <w:spacing w:line="500" w:lineRule="exact"/>
      <w:ind w:left="832" w:leftChars="832" w:firstLine="433" w:firstLineChars="196"/>
    </w:pPr>
    <w:rPr>
      <w:sz w:val="24"/>
    </w:rPr>
  </w:style>
  <w:style w:type="paragraph" w:styleId="10">
    <w:name w:val="Date"/>
    <w:basedOn w:val="1"/>
    <w:next w:val="1"/>
    <w:qFormat/>
    <w:uiPriority w:val="0"/>
    <w:rPr>
      <w:rFonts w:eastAsia="黑体"/>
      <w:sz w:val="36"/>
    </w:rPr>
  </w:style>
  <w:style w:type="paragraph" w:styleId="11">
    <w:name w:val="Body Text Indent 2"/>
    <w:basedOn w:val="1"/>
    <w:next w:val="12"/>
    <w:qFormat/>
    <w:uiPriority w:val="0"/>
    <w:pPr>
      <w:spacing w:after="120" w:line="480" w:lineRule="auto"/>
      <w:ind w:left="420" w:leftChars="200"/>
    </w:pPr>
    <w:rPr>
      <w:rFonts w:ascii="Calibri" w:hAnsi="Calibri" w:eastAsia="宋体" w:cs="Times New Roman"/>
      <w:szCs w:val="22"/>
    </w:rPr>
  </w:style>
  <w:style w:type="paragraph" w:customStyle="1" w:styleId="12">
    <w:name w:val="样式"/>
    <w:basedOn w:val="1"/>
    <w:qFormat/>
    <w:uiPriority w:val="0"/>
    <w:pPr>
      <w:autoSpaceDE w:val="0"/>
      <w:autoSpaceDN w:val="0"/>
      <w:adjustRightInd w:val="0"/>
      <w:jc w:val="left"/>
    </w:pPr>
    <w:rPr>
      <w:rFonts w:hint="eastAsia" w:ascii="宋体" w:hAnsi="宋体" w:eastAsia="宋体" w:cs="Times New Roman"/>
      <w:kern w:val="0"/>
      <w:sz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List"/>
    <w:basedOn w:val="1"/>
    <w:qFormat/>
    <w:uiPriority w:val="0"/>
    <w:pPr>
      <w:ind w:left="283" w:hanging="283"/>
      <w:contextualSpacing/>
    </w:pPr>
    <w:rPr>
      <w:rFonts w:ascii="Calibri" w:hAnsi="Calibri"/>
    </w:rPr>
  </w:style>
  <w:style w:type="paragraph" w:styleId="16">
    <w:name w:val="HTML Preformatted"/>
    <w:basedOn w:val="1"/>
    <w:qFormat/>
    <w:uiPriority w:val="0"/>
    <w:rPr>
      <w:rFonts w:ascii="Courier New" w:hAnsi="Courier New"/>
      <w:sz w:val="20"/>
      <w:szCs w:val="20"/>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8"/>
    <w:qFormat/>
    <w:uiPriority w:val="0"/>
    <w:pPr>
      <w:widowControl w:val="0"/>
      <w:spacing w:after="120" w:afterLines="0" w:line="240" w:lineRule="auto"/>
      <w:ind w:firstLine="420" w:firstLineChars="100"/>
    </w:pPr>
  </w:style>
  <w:style w:type="paragraph" w:styleId="19">
    <w:name w:val="Body Text First Indent 2"/>
    <w:basedOn w:val="9"/>
    <w:qFormat/>
    <w:uiPriority w:val="0"/>
    <w:pPr>
      <w:spacing w:after="120" w:line="240" w:lineRule="auto"/>
      <w:ind w:left="420" w:leftChars="200" w:firstLine="420"/>
    </w:pPr>
    <w:rPr>
      <w:sz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paragraph" w:customStyle="1" w:styleId="24">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25">
    <w:name w:val="List Paragraph"/>
    <w:basedOn w:val="1"/>
    <w:qFormat/>
    <w:uiPriority w:val="34"/>
    <w:pPr>
      <w:ind w:firstLine="420" w:firstLineChars="200"/>
    </w:pPr>
    <w:rPr>
      <w:rFonts w:ascii="Times New Roman"/>
      <w:szCs w:val="22"/>
    </w:rPr>
  </w:style>
  <w:style w:type="character" w:customStyle="1" w:styleId="26">
    <w:name w:val="NormalCharacter"/>
    <w:semiHidden/>
    <w:qFormat/>
    <w:uiPriority w:val="0"/>
  </w:style>
  <w:style w:type="paragraph" w:customStyle="1" w:styleId="27">
    <w:name w:val="无间隔1"/>
    <w:qFormat/>
    <w:uiPriority w:val="0"/>
    <w:pPr>
      <w:widowControl w:val="0"/>
      <w:jc w:val="both"/>
    </w:pPr>
    <w:rPr>
      <w:rFonts w:ascii="Arial Black" w:hAnsi="Arial Black" w:eastAsia="等线" w:cs="Verdana"/>
      <w:kern w:val="2"/>
      <w:sz w:val="21"/>
      <w:szCs w:val="22"/>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rPr>
  </w:style>
  <w:style w:type="paragraph" w:customStyle="1" w:styleId="29">
    <w:name w:val="_Style 13"/>
    <w:autoRedefine/>
    <w:qFormat/>
    <w:uiPriority w:val="0"/>
    <w:pPr>
      <w:spacing w:before="120" w:after="120" w:line="288" w:lineRule="auto"/>
      <w:ind w:left="0"/>
      <w:jc w:val="left"/>
    </w:pPr>
    <w:rPr>
      <w:rFonts w:ascii="Arial" w:hAnsi="Arial" w:eastAsia="等线" w:cs="Arial"/>
      <w:sz w:val="22"/>
      <w:szCs w:val="22"/>
    </w:rPr>
  </w:style>
  <w:style w:type="paragraph" w:customStyle="1" w:styleId="30">
    <w:name w:val="Default"/>
    <w:next w:val="11"/>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1">
    <w:name w:val="列出段落11"/>
    <w:basedOn w:val="1"/>
    <w:qFormat/>
    <w:uiPriority w:val="34"/>
    <w:pPr>
      <w:spacing w:after="0" w:line="240" w:lineRule="auto"/>
      <w:ind w:firstLine="420" w:firstLineChars="200"/>
      <w:jc w:val="both"/>
    </w:pPr>
    <w:rPr>
      <w:rFonts w:ascii="Calibri" w:hAnsi="Calibri" w:eastAsia="宋体" w:cs="Times New Roman"/>
      <w:sz w:val="21"/>
      <w:szCs w:val="22"/>
    </w:rPr>
  </w:style>
  <w:style w:type="paragraph" w:styleId="32">
    <w:name w:val="No Spacing"/>
    <w:basedOn w:val="1"/>
    <w:qFormat/>
    <w:uiPriority w:val="1"/>
    <w:pPr>
      <w:spacing w:before="0" w:after="0" w:line="240" w:lineRule="auto"/>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2273</Words>
  <Characters>2386</Characters>
  <Lines>0</Lines>
  <Paragraphs>0</Paragraphs>
  <TotalTime>3</TotalTime>
  <ScaleCrop>false</ScaleCrop>
  <LinksUpToDate>false</LinksUpToDate>
  <CharactersWithSpaces>2394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2026-06-11T06:13:55Z</cp:lastPrinted>
  <dcterms:modified xsi:type="dcterms:W3CDTF">2026-06-11T06:14:14Z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718B4113F1334E7D88C56C7670C251EF_13</vt:lpwstr>
  </property>
</Properties>
</file>