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44CC">
      <w:pPr>
        <w:ind w:firstLine="360" w:firstLineChars="100"/>
        <w:jc w:val="center"/>
        <w:rPr>
          <w:rFonts w:hint="default"/>
          <w:sz w:val="36"/>
          <w:szCs w:val="21"/>
          <w:lang w:val="en-US" w:eastAsia="zh-CN"/>
        </w:rPr>
      </w:pPr>
      <w:r>
        <w:rPr>
          <w:rFonts w:hint="default"/>
          <w:sz w:val="36"/>
          <w:szCs w:val="21"/>
          <w:lang w:val="en-US" w:eastAsia="zh-CN"/>
        </w:rPr>
        <w:t>成都市新津区中医医院2026年-2028年审计及咨询服务采购项目询预算价公示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我院拟采购2026年-2028年审计及咨询服务项目。现将具体采购需求公告如下，各潜在供应商如有意向参与，请主动与我院联系，并在公示期内提供以下资料，以便初步甄选。</w:t>
      </w:r>
    </w:p>
    <w:p w14:paraId="696D7DD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857A8F">
      <w:pPr>
        <w:pStyle w:val="26"/>
        <w:rPr>
          <w:rFonts w:hint="eastAsia"/>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b w:val="0"/>
          <w:color w:val="FF0000"/>
          <w:kern w:val="2"/>
          <w:sz w:val="28"/>
          <w:szCs w:val="28"/>
          <w:lang w:val="en-US" w:eastAsia="zh-CN" w:bidi="ar-SA"/>
        </w:rPr>
        <w:t>具有国家行政主管部门颁发的会计师事务所执业证书。（提供加盖鲜章的复印件）</w:t>
      </w:r>
    </w:p>
    <w:p w14:paraId="51EC600D">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auto"/>
          <w:sz w:val="28"/>
          <w:szCs w:val="28"/>
          <w:highlight w:val="none"/>
          <w:lang w:val="en-US" w:eastAsia="zh-CN"/>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1、报名资料接收时间：（2026年2月26日-2026年3月2日；文件接收截止日期：2026年3月4日16：00）递交资料人员须为法人或授权委托人并提供证明文件查看。报名登记表见附件3。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；项目咨询联系人：岑老师，</w:t>
      </w:r>
      <w:r>
        <w:rPr>
          <w:rFonts w:hint="eastAsia" w:hAnsi="宋体" w:cs="仿宋_GB2312"/>
          <w:color w:val="auto"/>
          <w:sz w:val="28"/>
          <w:szCs w:val="28"/>
          <w:lang w:val="en-US" w:eastAsia="zh-CN"/>
        </w:rPr>
        <w:t>13551279660。</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0BAC7FFB">
      <w:pPr>
        <w:pStyle w:val="11"/>
        <w:rPr>
          <w:rFonts w:hint="eastAsia"/>
          <w:lang w:val="en-US" w:eastAsia="zh-CN"/>
        </w:rPr>
      </w:pPr>
    </w:p>
    <w:p w14:paraId="6D790F4A">
      <w:pPr>
        <w:pStyle w:val="11"/>
        <w:rPr>
          <w:rFonts w:hint="eastAsia"/>
          <w:lang w:val="en-US" w:eastAsia="zh-CN"/>
        </w:rPr>
      </w:pPr>
    </w:p>
    <w:p w14:paraId="49E2B0AD">
      <w:pPr>
        <w:pStyle w:val="11"/>
        <w:ind w:left="0" w:leftChars="0" w:firstLine="0" w:firstLineChars="0"/>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2B5AD212">
      <w:pPr>
        <w:numPr>
          <w:ilvl w:val="0"/>
          <w:numId w:val="0"/>
        </w:numPr>
        <w:spacing w:line="560" w:lineRule="exact"/>
        <w:ind w:firstLine="560" w:firstLineChars="200"/>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i w:val="0"/>
          <w:iCs w:val="0"/>
          <w:color w:val="auto"/>
          <w:sz w:val="28"/>
          <w:szCs w:val="28"/>
          <w:highlight w:val="none"/>
          <w:u w:val="none"/>
          <w:lang w:val="en-US" w:eastAsia="zh-CN"/>
        </w:rPr>
        <w:t>为深入贯彻落实国家医疗卫生行业相关政策法规，进一步提升我院内部经济管理能力，优化业务流程，有效防范运营风险与廉政风险，保障资金使用安全与效益，我院拟采购</w:t>
      </w:r>
      <w:r>
        <w:rPr>
          <w:rFonts w:hint="eastAsia" w:ascii="仿宋" w:hAnsi="仿宋" w:eastAsia="仿宋" w:cs="仿宋"/>
          <w:color w:val="auto"/>
          <w:sz w:val="28"/>
          <w:szCs w:val="28"/>
          <w:lang w:val="en-US" w:eastAsia="zh-CN"/>
        </w:rPr>
        <w:t>2026年-2028年审计及咨询服务项目。</w:t>
      </w:r>
    </w:p>
    <w:p w14:paraId="432A81A9">
      <w:pPr>
        <w:numPr>
          <w:ilvl w:val="0"/>
          <w:numId w:val="0"/>
        </w:numPr>
        <w:spacing w:line="560" w:lineRule="exact"/>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二</w:t>
      </w:r>
      <w:r>
        <w:rPr>
          <w:rFonts w:hint="eastAsia" w:ascii="仿宋" w:hAnsi="仿宋" w:eastAsia="仿宋" w:cs="仿宋"/>
          <w:b/>
          <w:bCs/>
          <w:i w:val="0"/>
          <w:iCs w:val="0"/>
          <w:color w:val="000000"/>
          <w:kern w:val="0"/>
          <w:sz w:val="32"/>
          <w:szCs w:val="32"/>
          <w:u w:val="none"/>
          <w:lang w:val="en-US" w:eastAsia="zh-CN" w:bidi="ar"/>
        </w:rPr>
        <w:t>、采购需求及要求
</w:t>
      </w:r>
    </w:p>
    <w:p w14:paraId="06125D9E">
      <w:pPr>
        <w:spacing w:line="360" w:lineRule="auto"/>
        <w:ind w:firstLine="560" w:firstLineChars="200"/>
        <w:jc w:val="left"/>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主要包括医院2025年财务报表审计、财务收支审计、财政专项资金审计、内控评价审计、风险评估审计、采购及合同执行情况审计、工会财务收支审计、医保和物价执行情况审计，参照川发改价格（2013）901号文件规定100%下浮（即：不允许上浮）。</w:t>
      </w:r>
    </w:p>
    <w:p w14:paraId="5A030313">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服务内容及范围：</w:t>
      </w:r>
    </w:p>
    <w:p w14:paraId="22965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1、2025-2027年度财务报表审计</w:t>
      </w:r>
    </w:p>
    <w:p w14:paraId="389BA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依据相关政策对医院年度财务报表是否在所有重大方面按照政府会计制度的规定编制，公允反映了医院年度财务状况和事业成果发表意见。</w:t>
      </w:r>
    </w:p>
    <w:p w14:paraId="25113B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2、2025-2027年度财务收支审计</w:t>
      </w:r>
    </w:p>
    <w:p w14:paraId="3BF71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依据相关政策对医院年度财务收支及有关经济活动的真实性、合法性和完整性进行审计和评价。</w:t>
      </w:r>
    </w:p>
    <w:p w14:paraId="19A3F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562" w:firstLineChars="20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3、2025-2027年度财政专项资金项目审计</w:t>
      </w:r>
    </w:p>
    <w:p w14:paraId="0C394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主要对财政项目基础资料是否完整；项目组织管理是否规范；项目资金使用是否规范；项目目标任务完成情况、实施成效是否达标进行审计。</w:t>
      </w:r>
    </w:p>
    <w:p w14:paraId="3B7F9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4、2025-2027年度内控控制风险评估及评价审计</w:t>
      </w:r>
    </w:p>
    <w:p w14:paraId="3CB7D7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依据相关政策对医院内部控制评价进行审计，具体包括：单位层面内部控制建设和执行情况审计、业务层面内部控制建设和执行情况审计。对医院全面、系统和客观地识别、分析委托单位经济活动及相关业务活动存在的风险，确定相应的风险承受度及风险应对策略。</w:t>
      </w:r>
    </w:p>
    <w:p w14:paraId="6A34F7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5、2025-2027年采购及合同执行情况专项审计</w:t>
      </w:r>
    </w:p>
    <w:p w14:paraId="6204A4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主要对项目立项、招投标程序、合同签订、合同执行、会计核算等方面管理情况进行核查审计。</w:t>
      </w:r>
    </w:p>
    <w:p w14:paraId="335AD9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6、2025-2027年工会财务收支审计</w:t>
      </w:r>
    </w:p>
    <w:p w14:paraId="6F2351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主要对支出是否符合工会相关经费管理制度要求，支出流程是否合规等进行审计。</w:t>
      </w:r>
    </w:p>
    <w:p w14:paraId="1BDEF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7、对2025-2028年医保和物价执行情况进行评价，2026-2028年度内开展内部培训，一年一次</w:t>
      </w:r>
    </w:p>
    <w:p w14:paraId="581A52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560" w:firstLineChars="200"/>
        <w:jc w:val="both"/>
        <w:textAlignment w:val="auto"/>
        <w:rPr>
          <w:rFonts w:hint="eastAsia" w:ascii="仿宋" w:hAnsi="仿宋" w:eastAsia="仿宋" w:cs="仿宋"/>
          <w:b/>
          <w:bCs/>
          <w:color w:val="auto"/>
          <w:sz w:val="28"/>
          <w:szCs w:val="28"/>
          <w:lang w:val="en-US"/>
        </w:rPr>
      </w:pPr>
      <w:r>
        <w:rPr>
          <w:rFonts w:hint="eastAsia" w:ascii="仿宋" w:hAnsi="仿宋" w:eastAsia="仿宋" w:cs="仿宋"/>
          <w:kern w:val="2"/>
          <w:sz w:val="28"/>
          <w:szCs w:val="28"/>
          <w:lang w:val="en-US" w:eastAsia="zh-CN" w:bidi="ar"/>
        </w:rPr>
        <w:t>主要对药品耗材管理、HIS收费，手麻和PACS等业务系统数据进行对比分析，并结合病历、产品说明等，评</w:t>
      </w:r>
      <w:r>
        <w:rPr>
          <w:rFonts w:hint="eastAsia" w:ascii="仿宋" w:hAnsi="仿宋" w:eastAsia="仿宋" w:cs="仿宋"/>
          <w:color w:val="auto"/>
          <w:kern w:val="2"/>
          <w:sz w:val="28"/>
          <w:szCs w:val="28"/>
          <w:lang w:val="en-US" w:eastAsia="zh-CN" w:bidi="ar"/>
        </w:rPr>
        <w:t>价医院上年及当年物价执行是否合理、合规，并移交医保（物价）执行问题清单。内容包括但不限于结合医保负面清单和国家医保局下发的两库知识点和规则，关注以下事项：关注医疗服务项目及药品（医用耗材）收费的合规性，应就疑点问题进行核查病案病历等延伸检查；是否按规定的收费项目和标准收费；是否存在捆绑收费、串换项目收费、超标准收费、重复收费、分解收费以及对不可收费耗材单独收取费等情况；是否存在不合理用药情况；门统、门特、血透报销执行情况；关注病历的规范性以及“七吻合”；DRG入组正确性和准确性，是否存在高靠或低编；应关注的其他事项。</w:t>
      </w:r>
    </w:p>
    <w:p w14:paraId="6E6F9566">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根据医院安排的其他审计项目</w:t>
      </w:r>
    </w:p>
    <w:p w14:paraId="10BC8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根据管理需要，经审批后依据合同谈判执行。</w:t>
      </w:r>
    </w:p>
    <w:p w14:paraId="4DAC2E89">
      <w:pPr>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sz w:val="28"/>
          <w:szCs w:val="28"/>
          <w:lang w:val="en-US"/>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p w14:paraId="04A40B55">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分别出具采购人或管理部门认可的会计报表、财务收支、财政专项资金、内控评价、风险评估、采购及合同执行情况、工会财务收支审计报告，以及医保和物价执行情况问题清单。</w:t>
      </w:r>
    </w:p>
    <w:p w14:paraId="45DBE1A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（二）人员配置要求</w:t>
      </w:r>
    </w:p>
    <w:p w14:paraId="2C1AE9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注册会计师不少于 2 人，具有会计专业助理人员不少于 2 人，另开展“医保和物价评价”服务内容配置中级及中级以上信息类人员、医疗人员分别不少于1人。（提供有效证书复印件并加盖公章），另会计（审计）类人员提供承诺函，并加盖公章）</w:t>
      </w:r>
    </w:p>
    <w:p w14:paraId="48980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（三）设施设备配置要求</w:t>
      </w:r>
    </w:p>
    <w:p w14:paraId="7D2A4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配备满足审计所需电脑及相关审计专业软件。</w:t>
      </w:r>
    </w:p>
    <w:p w14:paraId="74B82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jc w:val="both"/>
        <w:textAlignment w:val="auto"/>
        <w:rPr>
          <w:rFonts w:hint="eastAsia"/>
          <w:lang w:val="en-US" w:eastAsia="zh-CN"/>
        </w:rPr>
      </w:pPr>
      <w:r>
        <w:rPr>
          <w:rFonts w:hint="eastAsia" w:ascii="仿宋" w:hAnsi="仿宋" w:eastAsia="仿宋" w:cs="仿宋"/>
          <w:kern w:val="2"/>
          <w:sz w:val="28"/>
          <w:szCs w:val="28"/>
          <w:lang w:val="en-US" w:eastAsia="zh-CN" w:bidi="ar"/>
        </w:rPr>
        <w:t>（四）</w:t>
      </w:r>
      <w:r>
        <w:rPr>
          <w:rFonts w:hint="eastAsia" w:ascii="仿宋" w:hAnsi="仿宋" w:eastAsia="仿宋" w:cs="仿宋"/>
          <w:b w:val="0"/>
          <w:kern w:val="2"/>
          <w:sz w:val="28"/>
          <w:szCs w:val="28"/>
          <w:lang w:val="en-US" w:eastAsia="zh-CN" w:bidi="ar"/>
        </w:rPr>
        <w:t>服务期限：合同签订</w:t>
      </w:r>
      <w:bookmarkStart w:id="2" w:name="_GoBack"/>
      <w:bookmarkEnd w:id="2"/>
      <w:r>
        <w:rPr>
          <w:rFonts w:hint="eastAsia" w:ascii="仿宋" w:hAnsi="仿宋" w:eastAsia="仿宋" w:cs="仿宋"/>
          <w:b w:val="0"/>
          <w:kern w:val="2"/>
          <w:sz w:val="28"/>
          <w:szCs w:val="28"/>
          <w:lang w:val="en-US" w:eastAsia="zh-CN" w:bidi="ar"/>
        </w:rPr>
        <w:t>之日起一年一签，一采三年。</w:t>
      </w:r>
    </w:p>
    <w:p w14:paraId="4DBE068E">
      <w:pPr>
        <w:pStyle w:val="26"/>
        <w:pageBreakBefore w:val="0"/>
        <w:widowControl w:val="0"/>
        <w:numPr>
          <w:ilvl w:val="4"/>
          <w:numId w:val="0"/>
        </w:numPr>
        <w:kinsoku/>
        <w:wordWrap/>
        <w:overflowPunct/>
        <w:topLinePunct w:val="0"/>
        <w:autoSpaceDE/>
        <w:autoSpaceDN/>
        <w:bidi w:val="0"/>
        <w:spacing w:line="360" w:lineRule="auto"/>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（五）服务地点： 采购人指定地点。</w:t>
      </w:r>
    </w:p>
    <w:p w14:paraId="2A6DA76C">
      <w:pPr>
        <w:pStyle w:val="26"/>
        <w:pageBreakBefore w:val="0"/>
        <w:widowControl w:val="0"/>
        <w:numPr>
          <w:ilvl w:val="4"/>
          <w:numId w:val="0"/>
        </w:numPr>
        <w:kinsoku/>
        <w:wordWrap/>
        <w:overflowPunct/>
        <w:topLinePunct w:val="0"/>
        <w:autoSpaceDE/>
        <w:autoSpaceDN/>
        <w:bidi w:val="0"/>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（六）付款方式：</w:t>
      </w:r>
      <w:bookmarkEnd w:id="0"/>
      <w:bookmarkEnd w:id="1"/>
      <w:r>
        <w:rPr>
          <w:rFonts w:hint="eastAsia" w:ascii="仿宋" w:hAnsi="仿宋" w:eastAsia="仿宋" w:cs="仿宋"/>
          <w:b w:val="0"/>
          <w:bCs w:val="0"/>
          <w:sz w:val="28"/>
          <w:szCs w:val="28"/>
          <w:lang w:val="en-US" w:eastAsia="zh-CN"/>
        </w:rPr>
        <w:t>分期付款，签订合同后供应商开具增值税发票，10个工作日内付款30%，经验收合格后出具正式审计报告并提供增值税发票，书面确认后10个工作日内，支付余款70%。</w:t>
      </w:r>
    </w:p>
    <w:p w14:paraId="3F15949E">
      <w:pPr>
        <w:pStyle w:val="26"/>
        <w:numPr>
          <w:ilvl w:val="4"/>
          <w:numId w:val="0"/>
        </w:numPr>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val="0"/>
          <w:bCs w:val="0"/>
          <w:sz w:val="28"/>
          <w:szCs w:val="28"/>
          <w:lang w:val="en-US" w:eastAsia="zh-CN"/>
        </w:rPr>
        <w:t>（七）验收标准及方法：</w:t>
      </w:r>
    </w:p>
    <w:p w14:paraId="7EA188CC">
      <w:pPr>
        <w:pStyle w:val="8"/>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lang w:val="en-US" w:eastAsia="zh-CN"/>
        </w:rPr>
        <w:t>①</w:t>
      </w:r>
      <w:r>
        <w:rPr>
          <w:rFonts w:hint="eastAsia" w:ascii="仿宋" w:hAnsi="仿宋" w:eastAsia="仿宋" w:cs="仿宋"/>
          <w:bCs/>
          <w:color w:val="auto"/>
          <w:kern w:val="2"/>
          <w:sz w:val="28"/>
          <w:szCs w:val="28"/>
          <w:highlight w:val="none"/>
          <w:lang w:val="en-US" w:eastAsia="zh-CN" w:bidi="ar-SA"/>
        </w:rPr>
        <w:t>履约验收主体：采购人。</w:t>
      </w:r>
    </w:p>
    <w:p w14:paraId="7C6F59C1">
      <w:pPr>
        <w:pStyle w:val="8"/>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sz w:val="28"/>
          <w:szCs w:val="28"/>
          <w:highlight w:val="none"/>
          <w:lang w:val="en-US" w:eastAsia="zh-CN"/>
        </w:rPr>
        <w:t>②</w:t>
      </w:r>
      <w:r>
        <w:rPr>
          <w:rFonts w:hint="eastAsia" w:ascii="仿宋" w:hAnsi="仿宋" w:eastAsia="仿宋" w:cs="仿宋"/>
          <w:bCs/>
          <w:color w:val="auto"/>
          <w:kern w:val="2"/>
          <w:sz w:val="28"/>
          <w:szCs w:val="28"/>
          <w:highlight w:val="none"/>
          <w:lang w:val="en-US" w:eastAsia="zh-CN" w:bidi="ar-SA"/>
        </w:rPr>
        <w:t>履约验收方式：由采购人组织相关专业人员进行验收。</w:t>
      </w:r>
    </w:p>
    <w:p w14:paraId="2599C709">
      <w:pPr>
        <w:pStyle w:val="8"/>
        <w:keepNext w:val="0"/>
        <w:keepLines w:val="0"/>
        <w:pageBreakBefore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③履约验收内容：本项目验收由采购人组织有关专业人员按采购文件所列的各项要求、竞标人响应文件内容及承诺，签订的合同及验收所必须具备的其他材料进行验收。</w:t>
      </w:r>
    </w:p>
    <w:p w14:paraId="2E3CFDEF">
      <w:pPr>
        <w:pStyle w:val="23"/>
        <w:ind w:firstLine="400"/>
        <w:jc w:val="both"/>
        <w:rPr>
          <w:rFonts w:hint="eastAsia" w:ascii="仿宋" w:hAnsi="仿宋" w:eastAsia="仿宋" w:cs="仿宋"/>
          <w:sz w:val="28"/>
          <w:szCs w:val="28"/>
          <w:lang w:eastAsia="zh-CN"/>
        </w:rPr>
      </w:pPr>
      <w:r>
        <w:rPr>
          <w:rFonts w:hint="eastAsia" w:ascii="仿宋" w:hAnsi="仿宋" w:eastAsia="仿宋" w:cs="仿宋"/>
          <w:bCs/>
          <w:color w:val="auto"/>
          <w:kern w:val="2"/>
          <w:sz w:val="28"/>
          <w:szCs w:val="28"/>
          <w:highlight w:val="none"/>
          <w:lang w:val="en-US" w:eastAsia="zh-CN" w:bidi="ar-SA"/>
        </w:rPr>
        <w:t>（八）</w:t>
      </w:r>
      <w:r>
        <w:rPr>
          <w:rFonts w:hint="eastAsia" w:ascii="仿宋" w:hAnsi="仿宋" w:eastAsia="仿宋" w:cs="仿宋"/>
          <w:sz w:val="28"/>
          <w:szCs w:val="28"/>
        </w:rPr>
        <w:t>供应商还须满足以下要求</w:t>
      </w:r>
      <w:r>
        <w:rPr>
          <w:rFonts w:hint="eastAsia" w:ascii="仿宋" w:hAnsi="仿宋" w:eastAsia="仿宋" w:cs="仿宋"/>
          <w:sz w:val="28"/>
          <w:szCs w:val="28"/>
          <w:lang w:eastAsia="zh-CN"/>
        </w:rPr>
        <w:t>：</w:t>
      </w:r>
    </w:p>
    <w:p w14:paraId="2BECE2FF">
      <w:pPr>
        <w:pStyle w:val="23"/>
        <w:ind w:firstLine="400"/>
        <w:jc w:val="both"/>
        <w:rPr>
          <w:rFonts w:hint="eastAsia" w:ascii="仿宋" w:hAnsi="仿宋" w:eastAsia="仿宋" w:cs="仿宋"/>
          <w:sz w:val="28"/>
          <w:szCs w:val="28"/>
        </w:rPr>
      </w:pPr>
      <w:r>
        <w:rPr>
          <w:rFonts w:hint="eastAsia" w:ascii="仿宋" w:hAnsi="仿宋" w:eastAsia="仿宋" w:cs="仿宋"/>
          <w:sz w:val="28"/>
          <w:szCs w:val="28"/>
        </w:rPr>
        <w:t xml:space="preserve"> （1）供应商委派的人员应严格遵守国家有关法律、法规及执业规范，并独立承担相应的法律责任；应恪守严格依法、正直坦诚、客观公正、诚实守信、勤勉尽责、保守秘密的基本职业道德，应独立、客观、公正地完成项目的咨询服务工作，并对咨询服务的真实性、准确性、合法性负责；应对其在咨询服务过程中知悉的国家秘密和受托项目 的相关情况严格保密，严格遵守采购人的信息保密制度，严禁复制、盗用项目有关信息 或在本咨询服务中获悉的采购人其它信息。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须提供承诺函并加盖公章</w:t>
      </w:r>
      <w:r>
        <w:rPr>
          <w:rFonts w:hint="eastAsia" w:ascii="仿宋" w:hAnsi="仿宋" w:eastAsia="仿宋" w:cs="仿宋"/>
          <w:sz w:val="28"/>
          <w:szCs w:val="28"/>
          <w:lang w:eastAsia="zh-CN"/>
        </w:rPr>
        <w:t>）</w:t>
      </w:r>
    </w:p>
    <w:p w14:paraId="57A24E7B">
      <w:pPr>
        <w:pStyle w:val="23"/>
        <w:ind w:firstLine="4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w:t>
      </w:r>
      <w:r>
        <w:rPr>
          <w:rFonts w:hint="eastAsia" w:ascii="仿宋" w:hAnsi="仿宋" w:eastAsia="仿宋" w:cs="仿宋"/>
          <w:sz w:val="28"/>
          <w:szCs w:val="28"/>
        </w:rPr>
        <w:t>）供应商委派的人员与项目有利害关系的，应事先声明，申请回避；已经承担过同一项目咨询任务的，供应商应主动申请回避，不得同时承担该项目的咨询服务工作。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须提供承诺函并加盖公章</w:t>
      </w:r>
      <w:r>
        <w:rPr>
          <w:rFonts w:hint="eastAsia" w:ascii="仿宋" w:hAnsi="仿宋" w:eastAsia="仿宋" w:cs="仿宋"/>
          <w:sz w:val="28"/>
          <w:szCs w:val="28"/>
          <w:lang w:eastAsia="zh-CN"/>
        </w:rPr>
        <w:t>）</w:t>
      </w:r>
    </w:p>
    <w:p w14:paraId="69B2F510">
      <w:pPr>
        <w:pStyle w:val="23"/>
        <w:ind w:firstLine="4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3</w:t>
      </w:r>
      <w:r>
        <w:rPr>
          <w:rFonts w:hint="eastAsia" w:ascii="仿宋" w:hAnsi="仿宋" w:eastAsia="仿宋" w:cs="仿宋"/>
          <w:sz w:val="28"/>
          <w:szCs w:val="28"/>
        </w:rPr>
        <w:t>）供应商不得委派有下列情形之一的人员参与本项目服务：独立性可能受到损害的；与本咨询服务有利害关系的单位或者事项有直接经济利益关系；对曾经管理或者直接办理过的相关业务；法律规定不得从事公务的其他情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须提供承诺函并加盖公章</w:t>
      </w:r>
      <w:r>
        <w:rPr>
          <w:rFonts w:hint="eastAsia" w:ascii="仿宋" w:hAnsi="仿宋" w:eastAsia="仿宋" w:cs="仿宋"/>
          <w:sz w:val="28"/>
          <w:szCs w:val="28"/>
          <w:lang w:eastAsia="zh-CN"/>
        </w:rPr>
        <w:t>）</w:t>
      </w:r>
    </w:p>
    <w:p w14:paraId="0549BE30">
      <w:pPr>
        <w:pStyle w:val="23"/>
        <w:ind w:firstLine="400"/>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4</w:t>
      </w:r>
      <w:r>
        <w:rPr>
          <w:rFonts w:hint="eastAsia" w:ascii="仿宋" w:hAnsi="仿宋" w:eastAsia="仿宋" w:cs="仿宋"/>
          <w:sz w:val="28"/>
          <w:szCs w:val="28"/>
        </w:rPr>
        <w:t>）供应商委派的人员应服从采购人工作安排和日常管理，接受业务考核，接受全过程监督。完成受托项目咨询服务后，应及时整理咨询服务工作中的取证记录和有关资料，并将完整的项目咨询服务资料及相关单位意见资料登记归档移交给采购人，以备复核、抽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须提供承诺函并加盖公章</w:t>
      </w:r>
      <w:r>
        <w:rPr>
          <w:rFonts w:hint="eastAsia" w:ascii="仿宋" w:hAnsi="仿宋" w:eastAsia="仿宋" w:cs="仿宋"/>
          <w:sz w:val="28"/>
          <w:szCs w:val="28"/>
          <w:lang w:eastAsia="zh-CN"/>
        </w:rPr>
        <w:t>）</w:t>
      </w:r>
    </w:p>
    <w:p w14:paraId="093277F6">
      <w:pPr>
        <w:pStyle w:val="23"/>
        <w:ind w:firstLine="40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供应商委派的人员参与本项目服务，不得发生以下情形：索贿、受贿或者接受不当利益；隐瞒与本咨询服务有利害关系的信息，违反有关法律法规行为；泄露国家秘密或者本咨询服务有利害关系的单位商业秘密；与本咨询服务有利害关系及相关单位串通舞弊；无故拖延导致合同约定期限内不能出具服务成果文件；与咨询服务结果有利 害关系的项目采购人及相关利益人中任何人进行私下接触；其他滥用职权、徇私舞弊、玩忽职守行为。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须提供承诺函并加盖公章</w:t>
      </w:r>
      <w:r>
        <w:rPr>
          <w:rFonts w:hint="eastAsia" w:ascii="仿宋" w:hAnsi="仿宋" w:eastAsia="仿宋" w:cs="仿宋"/>
          <w:sz w:val="28"/>
          <w:szCs w:val="28"/>
          <w:lang w:eastAsia="zh-CN"/>
        </w:rPr>
        <w:t>）</w:t>
      </w:r>
    </w:p>
    <w:p w14:paraId="2CF83864">
      <w:pPr>
        <w:pStyle w:val="23"/>
        <w:ind w:firstLine="400"/>
        <w:jc w:val="both"/>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供应商如有违反或未达到，一经查实，采购人有权终止合作，拒绝支付任何服务费用，如给采购人带来经济损失，无论此损失是否大于供应商应得服务费，供应商需赔偿采购人全额经济损失。且采购人保留进一步采用法律手段解决问题的权利。</w:t>
      </w:r>
    </w:p>
    <w:p w14:paraId="320E1471">
      <w:pPr>
        <w:rPr>
          <w:rFonts w:hint="eastAsia" w:ascii="仿宋" w:hAnsi="仿宋" w:eastAsia="仿宋" w:cs="仿宋"/>
          <w:color w:val="000000"/>
          <w:sz w:val="28"/>
          <w:szCs w:val="28"/>
          <w:lang w:val="zh-CN" w:eastAsia="zh-CN" w:bidi="zh-CN"/>
        </w:rPr>
      </w:pPr>
      <w:r>
        <w:rPr>
          <w:rFonts w:hint="eastAsia" w:ascii="仿宋" w:hAnsi="仿宋" w:eastAsia="仿宋" w:cs="仿宋"/>
          <w:bCs/>
          <w:color w:val="auto"/>
          <w:kern w:val="2"/>
          <w:sz w:val="28"/>
          <w:szCs w:val="28"/>
          <w:highlight w:val="none"/>
          <w:lang w:val="en-US" w:eastAsia="zh-CN" w:bidi="ar-SA"/>
        </w:rPr>
        <w:t>其他未尽事宜，签订合同时双方协商确定。</w:t>
      </w:r>
    </w:p>
    <w:p w14:paraId="406F206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5CE2836D">
      <w:pPr>
        <w:spacing w:line="360" w:lineRule="auto"/>
        <w:outlineLvl w:val="0"/>
        <w:rPr>
          <w:rFonts w:hint="eastAsia" w:ascii="仿宋" w:hAnsi="仿宋" w:eastAsia="仿宋" w:cs="仿宋"/>
          <w:b/>
          <w:bCs/>
          <w:color w:val="auto"/>
          <w:sz w:val="32"/>
          <w:szCs w:val="32"/>
        </w:rPr>
      </w:pPr>
    </w:p>
    <w:p w14:paraId="2C05E154">
      <w:pPr>
        <w:spacing w:line="360" w:lineRule="auto"/>
        <w:outlineLvl w:val="0"/>
        <w:rPr>
          <w:rFonts w:hint="eastAsia" w:ascii="仿宋" w:hAnsi="仿宋" w:eastAsia="仿宋" w:cs="仿宋"/>
          <w:b/>
          <w:bCs/>
          <w:color w:val="auto"/>
          <w:sz w:val="32"/>
          <w:szCs w:val="32"/>
        </w:rPr>
      </w:pPr>
    </w:p>
    <w:p w14:paraId="54EAF432">
      <w:pPr>
        <w:spacing w:line="360" w:lineRule="auto"/>
        <w:outlineLvl w:val="0"/>
        <w:rPr>
          <w:rFonts w:hint="eastAsia" w:ascii="仿宋" w:hAnsi="仿宋" w:eastAsia="仿宋" w:cs="仿宋"/>
          <w:b/>
          <w:bCs/>
          <w:color w:val="auto"/>
          <w:sz w:val="32"/>
          <w:szCs w:val="32"/>
        </w:rPr>
      </w:pPr>
    </w:p>
    <w:p w14:paraId="55070AD5">
      <w:pPr>
        <w:spacing w:line="360" w:lineRule="auto"/>
        <w:outlineLvl w:val="0"/>
        <w:rPr>
          <w:rFonts w:hint="eastAsia" w:ascii="仿宋" w:hAnsi="仿宋" w:eastAsia="仿宋" w:cs="仿宋"/>
          <w:b/>
          <w:bCs/>
          <w:color w:val="auto"/>
          <w:sz w:val="32"/>
          <w:szCs w:val="32"/>
        </w:rPr>
      </w:pPr>
    </w:p>
    <w:p w14:paraId="6C312BCA">
      <w:pPr>
        <w:spacing w:line="360" w:lineRule="auto"/>
        <w:outlineLvl w:val="0"/>
        <w:rPr>
          <w:rFonts w:hint="eastAsia" w:ascii="仿宋" w:hAnsi="仿宋" w:eastAsia="仿宋" w:cs="仿宋"/>
          <w:b/>
          <w:bCs/>
          <w:color w:val="auto"/>
          <w:sz w:val="32"/>
          <w:szCs w:val="32"/>
        </w:rPr>
      </w:pPr>
    </w:p>
    <w:p w14:paraId="65489637">
      <w:pPr>
        <w:spacing w:line="360" w:lineRule="auto"/>
        <w:outlineLvl w:val="0"/>
        <w:rPr>
          <w:rFonts w:hint="eastAsia" w:ascii="仿宋" w:hAnsi="仿宋" w:eastAsia="仿宋" w:cs="仿宋"/>
          <w:b/>
          <w:bCs/>
          <w:color w:val="auto"/>
          <w:sz w:val="32"/>
          <w:szCs w:val="32"/>
        </w:rPr>
      </w:pPr>
    </w:p>
    <w:p w14:paraId="01F4658B">
      <w:pPr>
        <w:spacing w:line="360" w:lineRule="auto"/>
        <w:outlineLvl w:val="0"/>
        <w:rPr>
          <w:rFonts w:hint="eastAsia" w:ascii="仿宋" w:hAnsi="仿宋" w:eastAsia="仿宋" w:cs="仿宋"/>
          <w:b/>
          <w:bCs/>
          <w:color w:val="auto"/>
          <w:sz w:val="32"/>
          <w:szCs w:val="32"/>
        </w:rPr>
      </w:pPr>
    </w:p>
    <w:p w14:paraId="6A7F8334">
      <w:pPr>
        <w:spacing w:line="360" w:lineRule="auto"/>
        <w:outlineLvl w:val="0"/>
        <w:rPr>
          <w:rFonts w:hint="eastAsia" w:ascii="仿宋" w:hAnsi="仿宋" w:eastAsia="仿宋" w:cs="仿宋"/>
          <w:b/>
          <w:bCs/>
          <w:color w:val="auto"/>
          <w:sz w:val="32"/>
          <w:szCs w:val="32"/>
        </w:rPr>
      </w:pPr>
    </w:p>
    <w:p w14:paraId="4D07B9DD">
      <w:pPr>
        <w:pStyle w:val="2"/>
        <w:rPr>
          <w:rFonts w:hint="eastAsia" w:ascii="仿宋" w:hAnsi="仿宋" w:eastAsia="仿宋" w:cs="仿宋"/>
          <w:b/>
          <w:bCs/>
          <w:color w:val="auto"/>
          <w:sz w:val="32"/>
          <w:szCs w:val="32"/>
        </w:rPr>
      </w:pPr>
    </w:p>
    <w:p w14:paraId="7B169C01">
      <w:pPr>
        <w:pStyle w:val="11"/>
        <w:ind w:left="0" w:leftChars="0" w:firstLine="0" w:firstLineChars="0"/>
        <w:rPr>
          <w:rFonts w:hint="eastAsia" w:ascii="仿宋" w:hAnsi="仿宋" w:eastAsia="仿宋" w:cs="仿宋"/>
          <w:b/>
          <w:bCs/>
          <w:color w:val="auto"/>
          <w:sz w:val="32"/>
          <w:szCs w:val="32"/>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4DC67E5F">
      <w:pPr>
        <w:rPr>
          <w:rFonts w:hint="default"/>
          <w:lang w:val="en-US" w:eastAsia="zh-CN"/>
        </w:rPr>
      </w:pPr>
    </w:p>
    <w:tbl>
      <w:tblPr>
        <w:tblStyle w:val="16"/>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292"/>
        <w:gridCol w:w="2216"/>
        <w:gridCol w:w="3361"/>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292"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216"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3361"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单价（小写万元/年）</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66B10C7C">
            <w:pPr>
              <w:numPr>
                <w:ilvl w:val="0"/>
                <w:numId w:val="0"/>
              </w:numPr>
              <w:rPr>
                <w:rFonts w:hint="default" w:ascii="仿宋" w:hAnsi="仿宋" w:eastAsia="仿宋" w:cs="仿宋"/>
                <w:color w:val="auto"/>
                <w:kern w:val="2"/>
                <w:sz w:val="28"/>
                <w:szCs w:val="28"/>
                <w:lang w:val="en-US" w:eastAsia="zh-CN" w:bidi="ar-SA"/>
              </w:rPr>
            </w:pPr>
            <w:r>
              <w:rPr>
                <w:rFonts w:hint="eastAsia" w:ascii="仿宋" w:hAnsi="仿宋" w:eastAsia="仿宋"/>
                <w:color w:val="auto"/>
                <w:kern w:val="2"/>
                <w:sz w:val="28"/>
                <w:szCs w:val="28"/>
              </w:rPr>
              <w:t>成都市新津区中医医院2026年-2028年审计及咨询服务采购项目</w:t>
            </w:r>
            <w:r>
              <w:rPr>
                <w:rFonts w:hint="eastAsia" w:ascii="仿宋" w:hAnsi="仿宋" w:eastAsia="仿宋"/>
                <w:color w:val="auto"/>
                <w:kern w:val="2"/>
                <w:sz w:val="28"/>
                <w:szCs w:val="28"/>
                <w:lang w:val="en-US" w:eastAsia="zh-CN"/>
              </w:rPr>
              <w:t>询预算价</w:t>
            </w:r>
          </w:p>
        </w:tc>
        <w:tc>
          <w:tcPr>
            <w:tcW w:w="1292"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216"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3361"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714BDD">
            <w:pPr>
              <w:pStyle w:val="8"/>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大写总价（万元/年）：</w:t>
            </w:r>
            <w:r>
              <w:rPr>
                <w:rFonts w:hint="eastAsia" w:ascii="仿宋" w:hAnsi="仿宋" w:eastAsia="仿宋" w:cs="仿宋"/>
                <w:bCs/>
                <w:color w:val="auto"/>
                <w:kern w:val="2"/>
                <w:sz w:val="28"/>
                <w:szCs w:val="28"/>
                <w:u w:val="single"/>
                <w:lang w:val="en-US" w:eastAsia="zh-CN" w:bidi="ar-SA"/>
              </w:rPr>
              <w:t xml:space="preserve">             </w:t>
            </w:r>
          </w:p>
        </w:tc>
      </w:tr>
    </w:tbl>
    <w:p w14:paraId="50E186FA">
      <w:pPr>
        <w:jc w:val="left"/>
        <w:rPr>
          <w:rFonts w:hint="eastAsia" w:ascii="仿宋" w:hAnsi="仿宋" w:eastAsia="仿宋" w:cs="Times New Roman"/>
          <w:color w:val="auto"/>
          <w:kern w:val="2"/>
          <w:sz w:val="28"/>
          <w:szCs w:val="28"/>
          <w:lang w:val="en-US" w:eastAsia="zh-CN" w:bidi="ar-SA"/>
        </w:rPr>
      </w:pPr>
    </w:p>
    <w:p w14:paraId="01A0D8F0">
      <w:pPr>
        <w:jc w:val="left"/>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需对每项内容进行报价，不能改变原表格内容。报价合计总价在列表末汇总，此报价单须盖公章单独密封。其它需要说明的事项：该报价为包干价（包括审计公司人员的交通、食宿等其他费用)</w:t>
      </w:r>
    </w:p>
    <w:p w14:paraId="158DE51E">
      <w:pPr>
        <w:rPr>
          <w:rFonts w:hint="default"/>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6"/>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8EE4876">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rPr>
              <w:t>成都市新津区中医医院2026年-2028年审计及咨询服务采购项目</w:t>
            </w:r>
            <w:r>
              <w:rPr>
                <w:rFonts w:hint="eastAsia" w:ascii="仿宋" w:hAnsi="仿宋" w:eastAsia="仿宋"/>
                <w:color w:val="auto"/>
                <w:kern w:val="2"/>
                <w:sz w:val="28"/>
                <w:szCs w:val="28"/>
                <w:lang w:val="en-US" w:eastAsia="zh-CN"/>
              </w:rPr>
              <w:t>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法人和授权委托人证明文件（4</w:t>
      </w:r>
      <w:r>
        <w:rPr>
          <w:rFonts w:hint="eastAsia" w:ascii="仿宋" w:hAnsi="仿宋" w:eastAsia="仿宋" w:cs="Times New Roman"/>
          <w:color w:val="auto"/>
          <w:sz w:val="24"/>
          <w:szCs w:val="24"/>
          <w:highlight w:val="none"/>
          <w:lang w:val="en-US" w:eastAsia="zh-CN"/>
        </w:rPr>
        <w:t>）具有国家行政主管部门颁发的会计师事务所执业证书</w:t>
      </w:r>
      <w:r>
        <w:rPr>
          <w:rFonts w:hint="eastAsia" w:ascii="仿宋" w:hAnsi="仿宋" w:eastAsia="仿宋" w:cs="Times New Roman"/>
          <w:color w:val="auto"/>
          <w:sz w:val="24"/>
          <w:szCs w:val="24"/>
          <w:lang w:val="en-US" w:eastAsia="zh-CN"/>
        </w:rPr>
        <w:t>（以上四条均需加盖供应商公章，提供扫描至以上邮箱）（5）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F91D970B-44CB-40F1-B81B-9866FA5DF7F2}"/>
  </w:font>
  <w:font w:name="仿宋_GB2312">
    <w:panose1 w:val="02010609030101010101"/>
    <w:charset w:val="86"/>
    <w:family w:val="modern"/>
    <w:pitch w:val="default"/>
    <w:sig w:usb0="00000001" w:usb1="080E0000" w:usb2="00000000" w:usb3="00000000" w:csb0="00040000" w:csb1="00000000"/>
    <w:embedRegular r:id="rId2" w:fontKey="{49659BB7-020B-481F-9988-2EAB8153D77B}"/>
  </w:font>
  <w:font w:name="华文中宋">
    <w:panose1 w:val="02010600040101010101"/>
    <w:charset w:val="86"/>
    <w:family w:val="auto"/>
    <w:pitch w:val="default"/>
    <w:sig w:usb0="00000287" w:usb1="080F0000" w:usb2="00000000" w:usb3="00000000" w:csb0="0004009F" w:csb1="DFD70000"/>
    <w:embedRegular r:id="rId3" w:fontKey="{02FC86C9-A371-403C-B0F4-CB093C0E6F7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EA47B"/>
    <w:multiLevelType w:val="singleLevel"/>
    <w:tmpl w:val="938EA47B"/>
    <w:lvl w:ilvl="0" w:tentative="0">
      <w:start w:val="1"/>
      <w:numFmt w:val="chineseCounting"/>
      <w:suff w:val="nothing"/>
      <w:lvlText w:val="（%1）"/>
      <w:lvlJc w:val="left"/>
      <w:rPr>
        <w:rFonts w:hint="eastAsia"/>
      </w:rPr>
    </w:lvl>
  </w:abstractNum>
  <w:abstractNum w:abstractNumId="1">
    <w:nsid w:val="DAC45092"/>
    <w:multiLevelType w:val="singleLevel"/>
    <w:tmpl w:val="DAC45092"/>
    <w:lvl w:ilvl="0" w:tentative="0">
      <w:start w:val="1"/>
      <w:numFmt w:val="chineseCounting"/>
      <w:suff w:val="nothing"/>
      <w:lvlText w:val="（%1）"/>
      <w:lvlJc w:val="left"/>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F597872"/>
    <w:multiLevelType w:val="multilevel"/>
    <w:tmpl w:val="5F597872"/>
    <w:lvl w:ilvl="0" w:tentative="0">
      <w:start w:val="8"/>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2F3072D"/>
    <w:rsid w:val="037574EA"/>
    <w:rsid w:val="03C14F9B"/>
    <w:rsid w:val="06140401"/>
    <w:rsid w:val="06E31D05"/>
    <w:rsid w:val="081A4D48"/>
    <w:rsid w:val="083D3697"/>
    <w:rsid w:val="08F2390F"/>
    <w:rsid w:val="08F55D20"/>
    <w:rsid w:val="095405EF"/>
    <w:rsid w:val="097B39EB"/>
    <w:rsid w:val="09B94F9F"/>
    <w:rsid w:val="0A874C41"/>
    <w:rsid w:val="0A9B3267"/>
    <w:rsid w:val="0AB20C9C"/>
    <w:rsid w:val="0B156206"/>
    <w:rsid w:val="0B1A1A6E"/>
    <w:rsid w:val="0B401884"/>
    <w:rsid w:val="0B5918E5"/>
    <w:rsid w:val="0B6251C3"/>
    <w:rsid w:val="0CD85E9D"/>
    <w:rsid w:val="0CEC01E6"/>
    <w:rsid w:val="0DA11FD2"/>
    <w:rsid w:val="0EB126E9"/>
    <w:rsid w:val="10B14879"/>
    <w:rsid w:val="10CD7E78"/>
    <w:rsid w:val="11213D01"/>
    <w:rsid w:val="12042B30"/>
    <w:rsid w:val="126F67ED"/>
    <w:rsid w:val="13460DFF"/>
    <w:rsid w:val="13745B3B"/>
    <w:rsid w:val="1377342C"/>
    <w:rsid w:val="13FE0509"/>
    <w:rsid w:val="14D42C8D"/>
    <w:rsid w:val="15604521"/>
    <w:rsid w:val="156D6775"/>
    <w:rsid w:val="179130B8"/>
    <w:rsid w:val="179B7A92"/>
    <w:rsid w:val="18B340A6"/>
    <w:rsid w:val="18BB1A7C"/>
    <w:rsid w:val="18D279C8"/>
    <w:rsid w:val="190653E0"/>
    <w:rsid w:val="1918274B"/>
    <w:rsid w:val="192D5B82"/>
    <w:rsid w:val="193A152D"/>
    <w:rsid w:val="19504090"/>
    <w:rsid w:val="196A0064"/>
    <w:rsid w:val="19F33BB6"/>
    <w:rsid w:val="1A0E09F0"/>
    <w:rsid w:val="1B7C3AD4"/>
    <w:rsid w:val="1CA658F0"/>
    <w:rsid w:val="1E767068"/>
    <w:rsid w:val="1F51661D"/>
    <w:rsid w:val="1FEB04EB"/>
    <w:rsid w:val="20E85B7C"/>
    <w:rsid w:val="20FB5A46"/>
    <w:rsid w:val="21CB18BC"/>
    <w:rsid w:val="22CA1F84"/>
    <w:rsid w:val="24036A14"/>
    <w:rsid w:val="259A0116"/>
    <w:rsid w:val="25BF34E6"/>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2FDA6F66"/>
    <w:rsid w:val="31010E56"/>
    <w:rsid w:val="313733B5"/>
    <w:rsid w:val="328D7C9C"/>
    <w:rsid w:val="32B83797"/>
    <w:rsid w:val="32DF1FDC"/>
    <w:rsid w:val="338D4C23"/>
    <w:rsid w:val="339F04B3"/>
    <w:rsid w:val="33CA19D4"/>
    <w:rsid w:val="35FA3F11"/>
    <w:rsid w:val="363E0716"/>
    <w:rsid w:val="36A24542"/>
    <w:rsid w:val="376663E7"/>
    <w:rsid w:val="37922808"/>
    <w:rsid w:val="380163AE"/>
    <w:rsid w:val="381C22E4"/>
    <w:rsid w:val="39344DD8"/>
    <w:rsid w:val="395064D7"/>
    <w:rsid w:val="39EE7A9E"/>
    <w:rsid w:val="3CE235AE"/>
    <w:rsid w:val="3EAD106F"/>
    <w:rsid w:val="40980764"/>
    <w:rsid w:val="41EE2342"/>
    <w:rsid w:val="429978DB"/>
    <w:rsid w:val="430376AF"/>
    <w:rsid w:val="43B35B15"/>
    <w:rsid w:val="43B937C9"/>
    <w:rsid w:val="440B7D6A"/>
    <w:rsid w:val="447339C1"/>
    <w:rsid w:val="44A763BB"/>
    <w:rsid w:val="45792516"/>
    <w:rsid w:val="46535859"/>
    <w:rsid w:val="46856199"/>
    <w:rsid w:val="4689127A"/>
    <w:rsid w:val="47316A0D"/>
    <w:rsid w:val="47CD33E9"/>
    <w:rsid w:val="49154102"/>
    <w:rsid w:val="4A0855A2"/>
    <w:rsid w:val="4A823E29"/>
    <w:rsid w:val="4B645E12"/>
    <w:rsid w:val="4C074DD7"/>
    <w:rsid w:val="4CA566E2"/>
    <w:rsid w:val="4D905206"/>
    <w:rsid w:val="4E3E5621"/>
    <w:rsid w:val="4F2627F5"/>
    <w:rsid w:val="4FC9093A"/>
    <w:rsid w:val="50564F85"/>
    <w:rsid w:val="50992D05"/>
    <w:rsid w:val="51AC22C1"/>
    <w:rsid w:val="51FF2B94"/>
    <w:rsid w:val="5213325F"/>
    <w:rsid w:val="529102F8"/>
    <w:rsid w:val="530C0109"/>
    <w:rsid w:val="533F3632"/>
    <w:rsid w:val="53857839"/>
    <w:rsid w:val="55A0213D"/>
    <w:rsid w:val="56FC6C6B"/>
    <w:rsid w:val="580C5867"/>
    <w:rsid w:val="594D4AA0"/>
    <w:rsid w:val="5A13112F"/>
    <w:rsid w:val="5A61002F"/>
    <w:rsid w:val="5A8B5E8A"/>
    <w:rsid w:val="5B802AD3"/>
    <w:rsid w:val="5B9E53FA"/>
    <w:rsid w:val="5BAA5AC3"/>
    <w:rsid w:val="5CD324F3"/>
    <w:rsid w:val="5D1076B3"/>
    <w:rsid w:val="5E14253A"/>
    <w:rsid w:val="5E9C6B06"/>
    <w:rsid w:val="5F6F6E00"/>
    <w:rsid w:val="5F8F5B94"/>
    <w:rsid w:val="60C44A55"/>
    <w:rsid w:val="60E70C20"/>
    <w:rsid w:val="61BD6543"/>
    <w:rsid w:val="62215335"/>
    <w:rsid w:val="633C45CA"/>
    <w:rsid w:val="64F00F67"/>
    <w:rsid w:val="65A6150C"/>
    <w:rsid w:val="66502ACA"/>
    <w:rsid w:val="68796990"/>
    <w:rsid w:val="692F0EEA"/>
    <w:rsid w:val="69FA5E67"/>
    <w:rsid w:val="69FE7BAF"/>
    <w:rsid w:val="6A2C3362"/>
    <w:rsid w:val="6C281D8C"/>
    <w:rsid w:val="6C792A1B"/>
    <w:rsid w:val="6CAF118B"/>
    <w:rsid w:val="6D8871EF"/>
    <w:rsid w:val="6D9B3ACA"/>
    <w:rsid w:val="6E1374F8"/>
    <w:rsid w:val="6E893B0C"/>
    <w:rsid w:val="70F55EB6"/>
    <w:rsid w:val="717645B6"/>
    <w:rsid w:val="71950224"/>
    <w:rsid w:val="72EA3CE1"/>
    <w:rsid w:val="73217EED"/>
    <w:rsid w:val="73700F48"/>
    <w:rsid w:val="73C65C21"/>
    <w:rsid w:val="74C05C36"/>
    <w:rsid w:val="761D53B8"/>
    <w:rsid w:val="762D016C"/>
    <w:rsid w:val="76E557A9"/>
    <w:rsid w:val="7777694E"/>
    <w:rsid w:val="78D9538A"/>
    <w:rsid w:val="7980722C"/>
    <w:rsid w:val="79C64BDE"/>
    <w:rsid w:val="7B4F7332"/>
    <w:rsid w:val="7B6F1AE6"/>
    <w:rsid w:val="7BD244D5"/>
    <w:rsid w:val="7C2330CA"/>
    <w:rsid w:val="7C43522B"/>
    <w:rsid w:val="7D2B53DD"/>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basedOn w:val="1"/>
    <w:next w:val="1"/>
    <w:link w:val="2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w:basedOn w:val="1"/>
    <w:next w:val="9"/>
    <w:qFormat/>
    <w:uiPriority w:val="99"/>
    <w:pPr>
      <w:spacing w:after="120"/>
    </w:pPr>
    <w:rPr>
      <w:rFonts w:ascii="宋体" w:hAnsi="Times New Roman"/>
      <w:kern w:val="0"/>
      <w:sz w:val="34"/>
      <w:szCs w:val="20"/>
    </w:rPr>
  </w:style>
  <w:style w:type="paragraph" w:styleId="9">
    <w:name w:val="Body Text First Indent"/>
    <w:basedOn w:val="8"/>
    <w:next w:val="1"/>
    <w:qFormat/>
    <w:uiPriority w:val="0"/>
    <w:pPr>
      <w:widowControl w:val="0"/>
      <w:spacing w:after="120" w:afterLines="0" w:line="240" w:lineRule="auto"/>
      <w:ind w:firstLine="420" w:firstLineChars="100"/>
    </w:pPr>
  </w:style>
  <w:style w:type="paragraph" w:styleId="10">
    <w:name w:val="Body Text Indent"/>
    <w:basedOn w:val="1"/>
    <w:qFormat/>
    <w:uiPriority w:val="0"/>
    <w:pPr>
      <w:spacing w:line="500" w:lineRule="exact"/>
      <w:ind w:left="832" w:leftChars="832" w:firstLine="433" w:firstLineChars="196"/>
    </w:pPr>
    <w:rPr>
      <w:sz w:val="24"/>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10"/>
    <w:qFormat/>
    <w:uiPriority w:val="0"/>
    <w:pPr>
      <w:spacing w:after="120" w:line="240" w:lineRule="auto"/>
      <w:ind w:left="420" w:leftChars="200" w:firstLine="42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0">
    <w:name w:val="List Paragraph"/>
    <w:basedOn w:val="1"/>
    <w:qFormat/>
    <w:uiPriority w:val="34"/>
    <w:pPr>
      <w:ind w:firstLine="420" w:firstLineChars="200"/>
    </w:pPr>
    <w:rPr>
      <w:rFonts w:ascii="Times New Roman"/>
      <w:szCs w:val="22"/>
    </w:rPr>
  </w:style>
  <w:style w:type="character" w:customStyle="1" w:styleId="21">
    <w:name w:val="NormalCharacter"/>
    <w:semiHidden/>
    <w:qFormat/>
    <w:uiPriority w:val="0"/>
  </w:style>
  <w:style w:type="paragraph" w:customStyle="1" w:styleId="22">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 w:type="character" w:customStyle="1" w:styleId="25">
    <w:name w:val="标题 4 Char"/>
    <w:link w:val="6"/>
    <w:qFormat/>
    <w:uiPriority w:val="0"/>
    <w:rPr>
      <w:rFonts w:ascii="Arial" w:hAnsi="Arial" w:eastAsia="黑体"/>
      <w:b/>
      <w:sz w:val="28"/>
    </w:rPr>
  </w:style>
  <w:style w:type="paragraph" w:customStyle="1" w:styleId="26">
    <w:name w:val="标题 5（有编号）（绿盟科技）"/>
    <w:basedOn w:val="1"/>
    <w:next w:val="27"/>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3637</Words>
  <Characters>3840</Characters>
  <Lines>0</Lines>
  <Paragraphs>0</Paragraphs>
  <TotalTime>13</TotalTime>
  <ScaleCrop>false</ScaleCrop>
  <LinksUpToDate>false</LinksUpToDate>
  <CharactersWithSpaces>3915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2026-02-26T08:14:57Z</cp:lastPrinted>
  <dcterms:modified xsi:type="dcterms:W3CDTF">2026-02-26T08:15:41Z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0CC746D3739540FD88AAD0F128CB3E35_13</vt:lpwstr>
  </property>
</Properties>
</file>