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D5075">
      <w:pPr>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成都市新津区中医医院</w:t>
      </w:r>
      <w:bookmarkStart w:id="0" w:name="_Hlk92361633"/>
    </w:p>
    <w:bookmarkEnd w:id="0"/>
    <w:p w14:paraId="54D6E39D">
      <w:pPr>
        <w:spacing w:line="700" w:lineRule="exact"/>
        <w:jc w:val="center"/>
        <w:rPr>
          <w:rFonts w:hint="default" w:ascii="宋体" w:hAnsi="宋体" w:eastAsia="宋体" w:cs="方正小标宋简体"/>
          <w:bCs/>
          <w:sz w:val="36"/>
          <w:szCs w:val="36"/>
          <w:lang w:val="en-US" w:eastAsia="zh-CN"/>
        </w:rPr>
      </w:pPr>
      <w:r>
        <w:rPr>
          <w:rFonts w:hint="eastAsia" w:ascii="方正小标宋简体" w:hAnsi="方正小标宋简体" w:eastAsia="方正小标宋简体" w:cs="方正小标宋简体"/>
          <w:bCs/>
          <w:sz w:val="44"/>
          <w:szCs w:val="44"/>
          <w:lang w:eastAsia="zh-CN"/>
        </w:rPr>
        <w:t>病理系统采购</w:t>
      </w:r>
      <w:r>
        <w:rPr>
          <w:rFonts w:hint="eastAsia" w:ascii="方正小标宋简体" w:hAnsi="方正小标宋简体" w:eastAsia="方正小标宋简体" w:cs="方正小标宋简体"/>
          <w:bCs/>
          <w:sz w:val="44"/>
          <w:szCs w:val="44"/>
          <w:lang w:val="en-US" w:eastAsia="zh-CN"/>
        </w:rPr>
        <w:t>询预算价</w:t>
      </w:r>
      <w:r>
        <w:rPr>
          <w:rFonts w:hint="eastAsia" w:ascii="方正小标宋简体" w:hAnsi="方正小标宋简体" w:eastAsia="方正小标宋简体" w:cs="方正小标宋简体"/>
          <w:bCs/>
          <w:sz w:val="44"/>
          <w:szCs w:val="44"/>
        </w:rPr>
        <w:t>公示</w:t>
      </w:r>
    </w:p>
    <w:p w14:paraId="4CE8C2E2">
      <w:pPr>
        <w:spacing w:line="480" w:lineRule="auto"/>
        <w:rPr>
          <w:rFonts w:hint="eastAsia" w:ascii="宋体" w:hAnsi="宋体" w:cs="仿宋_GB2312"/>
          <w:sz w:val="32"/>
          <w:szCs w:val="32"/>
        </w:rPr>
      </w:pPr>
    </w:p>
    <w:p w14:paraId="5EAD4A9D">
      <w:pPr>
        <w:spacing w:line="480" w:lineRule="auto"/>
        <w:rPr>
          <w:rFonts w:hint="eastAsia" w:ascii="宋体" w:hAnsi="宋体" w:cs="仿宋_GB2312"/>
          <w:sz w:val="24"/>
          <w:szCs w:val="24"/>
        </w:rPr>
      </w:pPr>
      <w:r>
        <w:rPr>
          <w:rFonts w:hint="eastAsia" w:ascii="宋体" w:hAnsi="宋体" w:cs="仿宋_GB2312"/>
          <w:sz w:val="24"/>
          <w:szCs w:val="24"/>
        </w:rPr>
        <w:t>各潜在供应商：</w:t>
      </w:r>
    </w:p>
    <w:p w14:paraId="3D58EF04">
      <w:pPr>
        <w:spacing w:line="560" w:lineRule="exact"/>
        <w:ind w:firstLine="640"/>
        <w:rPr>
          <w:rFonts w:hint="eastAsia" w:ascii="宋体" w:hAnsi="宋体" w:cs="仿宋_GB2312"/>
          <w:sz w:val="24"/>
          <w:szCs w:val="24"/>
        </w:rPr>
      </w:pPr>
      <w:r>
        <w:rPr>
          <w:rFonts w:hint="eastAsia" w:ascii="宋体" w:hAnsi="宋体" w:cs="仿宋_GB2312"/>
          <w:sz w:val="24"/>
          <w:szCs w:val="24"/>
        </w:rPr>
        <w:t>根据医院业务需要，我院拟</w:t>
      </w:r>
      <w:r>
        <w:rPr>
          <w:rFonts w:hint="eastAsia" w:ascii="宋体" w:hAnsi="宋体" w:cs="仿宋_GB2312"/>
          <w:kern w:val="0"/>
          <w:sz w:val="24"/>
          <w:szCs w:val="24"/>
        </w:rPr>
        <w:t>采购</w:t>
      </w:r>
      <w:r>
        <w:rPr>
          <w:rFonts w:hint="eastAsia" w:ascii="宋体" w:hAnsi="宋体" w:eastAsia="宋体" w:cs="仿宋_GB2312"/>
          <w:kern w:val="2"/>
          <w:sz w:val="24"/>
          <w:szCs w:val="24"/>
          <w:lang w:val="en-US" w:eastAsia="zh-CN" w:bidi="ar-SA"/>
        </w:rPr>
        <w:t>病理系统</w:t>
      </w:r>
      <w:r>
        <w:rPr>
          <w:rFonts w:hint="eastAsia" w:ascii="宋体" w:hAnsi="宋体" w:cs="仿宋_GB2312"/>
          <w:sz w:val="24"/>
          <w:szCs w:val="24"/>
        </w:rPr>
        <w:t>。现将具体采购需求公告如下，各潜在供应商如</w:t>
      </w:r>
      <w:r>
        <w:rPr>
          <w:rFonts w:hint="eastAsia" w:ascii="宋体" w:hAnsi="宋体" w:cs="仿宋_GB2312"/>
          <w:sz w:val="24"/>
          <w:szCs w:val="24"/>
          <w:lang w:val="en-US" w:eastAsia="zh-CN"/>
        </w:rPr>
        <w:t>有意向参与</w:t>
      </w:r>
      <w:r>
        <w:rPr>
          <w:rFonts w:hint="eastAsia" w:ascii="宋体" w:hAnsi="宋体" w:cs="仿宋_GB2312"/>
          <w:sz w:val="24"/>
          <w:szCs w:val="24"/>
        </w:rPr>
        <w:t>，请主动与我院联系，并在公示期内提供以下资料，以便初步甄选。</w:t>
      </w:r>
    </w:p>
    <w:p w14:paraId="640C3185">
      <w:pPr>
        <w:numPr>
          <w:ilvl w:val="0"/>
          <w:numId w:val="1"/>
        </w:numPr>
        <w:spacing w:line="560" w:lineRule="exact"/>
        <w:rPr>
          <w:rFonts w:hint="eastAsia" w:ascii="宋体" w:hAnsi="宋体" w:cs="仿宋_GB2312"/>
          <w:b/>
          <w:bCs/>
          <w:sz w:val="24"/>
          <w:szCs w:val="24"/>
        </w:rPr>
      </w:pPr>
      <w:r>
        <w:rPr>
          <w:rFonts w:hint="eastAsia" w:ascii="宋体" w:hAnsi="宋体" w:cs="仿宋_GB2312"/>
          <w:b/>
          <w:bCs/>
          <w:sz w:val="24"/>
          <w:szCs w:val="24"/>
        </w:rPr>
        <w:t>公司情况介绍：</w:t>
      </w:r>
    </w:p>
    <w:p w14:paraId="1550F1B8">
      <w:pPr>
        <w:numPr>
          <w:ilvl w:val="0"/>
          <w:numId w:val="0"/>
        </w:numPr>
        <w:spacing w:line="480" w:lineRule="auto"/>
        <w:ind w:firstLine="480" w:firstLineChars="200"/>
        <w:rPr>
          <w:rFonts w:hint="eastAsia" w:ascii="宋体" w:hAnsi="宋体" w:cs="仿宋_GB2312"/>
          <w:sz w:val="24"/>
          <w:szCs w:val="24"/>
        </w:rPr>
      </w:pPr>
      <w:r>
        <w:rPr>
          <w:rFonts w:hint="eastAsia" w:ascii="宋体" w:hAnsi="宋体" w:cs="仿宋_GB2312"/>
          <w:kern w:val="2"/>
          <w:sz w:val="24"/>
          <w:szCs w:val="24"/>
          <w:lang w:val="en-US" w:eastAsia="zh-CN" w:bidi="ar-SA"/>
        </w:rPr>
        <w:t>1、</w:t>
      </w:r>
      <w:r>
        <w:rPr>
          <w:rFonts w:hint="eastAsia" w:ascii="宋体" w:hAnsi="宋体" w:cs="仿宋_GB2312"/>
          <w:sz w:val="24"/>
          <w:szCs w:val="24"/>
        </w:rPr>
        <w:t>公司相关业务情况、业绩简介。</w:t>
      </w:r>
    </w:p>
    <w:p w14:paraId="017BA2A8">
      <w:pPr>
        <w:numPr>
          <w:ilvl w:val="0"/>
          <w:numId w:val="0"/>
        </w:numPr>
        <w:spacing w:line="480" w:lineRule="auto"/>
        <w:ind w:firstLine="480" w:firstLineChars="200"/>
        <w:rPr>
          <w:rFonts w:hAnsi="宋体" w:cs="仿宋_GB2312"/>
          <w:b/>
          <w:bCs/>
          <w:sz w:val="24"/>
          <w:szCs w:val="24"/>
        </w:rPr>
      </w:pPr>
      <w:r>
        <w:rPr>
          <w:rFonts w:hAnsi="宋体" w:cs="仿宋_GB2312"/>
          <w:b w:val="0"/>
          <w:bCs w:val="0"/>
          <w:kern w:val="2"/>
          <w:sz w:val="24"/>
          <w:szCs w:val="24"/>
          <w:lang w:val="en-US" w:eastAsia="zh-CN" w:bidi="ar-SA"/>
        </w:rPr>
        <w:t>2、</w:t>
      </w:r>
      <w:r>
        <w:rPr>
          <w:rFonts w:hint="eastAsia" w:ascii="宋体" w:hAnsi="宋体" w:cs="仿宋_GB2312"/>
          <w:sz w:val="24"/>
          <w:szCs w:val="24"/>
        </w:rPr>
        <w:t>公司营业执照复印件；</w:t>
      </w:r>
      <w:r>
        <w:rPr>
          <w:rFonts w:hint="eastAsia" w:hAnsi="宋体" w:cs="仿宋_GB2312"/>
          <w:sz w:val="24"/>
          <w:szCs w:val="24"/>
        </w:rPr>
        <w:t>公司法人身份证复印件，或授权委托书及授权委托人</w:t>
      </w:r>
      <w:r>
        <w:rPr>
          <w:rFonts w:hint="eastAsia" w:hAnsi="宋体" w:cs="仿宋_GB2312"/>
          <w:sz w:val="24"/>
          <w:szCs w:val="24"/>
          <w:lang w:val="en-US" w:eastAsia="zh-CN"/>
        </w:rPr>
        <w:t>身份证</w:t>
      </w:r>
      <w:r>
        <w:rPr>
          <w:rFonts w:hint="eastAsia" w:hAnsi="宋体" w:cs="仿宋_GB2312"/>
          <w:sz w:val="24"/>
          <w:szCs w:val="24"/>
        </w:rPr>
        <w:t>复印件。</w:t>
      </w:r>
    </w:p>
    <w:p w14:paraId="6E202725">
      <w:pPr>
        <w:spacing w:line="560" w:lineRule="exact"/>
        <w:rPr>
          <w:rFonts w:hint="eastAsia" w:ascii="宋体" w:hAnsi="宋体" w:cs="仿宋_GB2312"/>
          <w:b/>
          <w:bCs/>
          <w:sz w:val="24"/>
          <w:szCs w:val="24"/>
        </w:rPr>
      </w:pPr>
      <w:r>
        <w:rPr>
          <w:rFonts w:hint="eastAsia" w:ascii="宋体" w:hAnsi="宋体" w:cs="仿宋_GB2312"/>
          <w:b/>
          <w:bCs/>
          <w:sz w:val="24"/>
          <w:szCs w:val="24"/>
        </w:rPr>
        <w:t>二、报名要求：</w:t>
      </w:r>
    </w:p>
    <w:p w14:paraId="09EF76AE">
      <w:pPr>
        <w:spacing w:line="560" w:lineRule="exact"/>
        <w:ind w:firstLine="480" w:firstLineChars="200"/>
        <w:rPr>
          <w:rFonts w:hint="eastAsia"/>
        </w:rPr>
      </w:pPr>
      <w:r>
        <w:rPr>
          <w:rFonts w:hint="eastAsia" w:ascii="宋体" w:hAnsi="宋体" w:eastAsia="宋体" w:cs="仿宋_GB2312"/>
          <w:b w:val="0"/>
          <w:bCs w:val="0"/>
          <w:sz w:val="24"/>
          <w:szCs w:val="24"/>
          <w:lang w:val="en-US" w:eastAsia="zh-CN"/>
        </w:rPr>
        <w:t>1、</w:t>
      </w:r>
      <w:r>
        <w:rPr>
          <w:rFonts w:hint="eastAsia" w:ascii="宋体" w:hAnsi="宋体" w:cs="仿宋_GB2312"/>
          <w:sz w:val="24"/>
          <w:szCs w:val="24"/>
        </w:rPr>
        <w:t>资料必须密封，现场递交成都市新津区中医医院采购办</w:t>
      </w:r>
      <w:r>
        <w:rPr>
          <w:rFonts w:hint="eastAsia" w:ascii="宋体" w:hAnsi="宋体" w:cs="仿宋_GB2312"/>
          <w:sz w:val="24"/>
          <w:szCs w:val="24"/>
          <w:lang w:eastAsia="zh-CN"/>
        </w:rPr>
        <w:t>（</w:t>
      </w:r>
      <w:r>
        <w:rPr>
          <w:rFonts w:hint="eastAsia" w:ascii="宋体" w:hAnsi="宋体" w:cs="仿宋_GB2312"/>
          <w:sz w:val="24"/>
          <w:szCs w:val="24"/>
          <w:lang w:val="en-US" w:eastAsia="zh-CN"/>
        </w:rPr>
        <w:t>医院篮球场旁，两层板房第一间</w:t>
      </w:r>
      <w:r>
        <w:rPr>
          <w:rFonts w:hint="eastAsia" w:ascii="宋体" w:hAnsi="宋体" w:cs="仿宋_GB2312"/>
          <w:sz w:val="24"/>
          <w:szCs w:val="24"/>
          <w:lang w:eastAsia="zh-CN"/>
        </w:rPr>
        <w:t>）</w:t>
      </w:r>
      <w:r>
        <w:rPr>
          <w:rFonts w:hint="eastAsia" w:ascii="宋体" w:hAnsi="宋体" w:cs="仿宋_GB2312"/>
          <w:sz w:val="24"/>
          <w:szCs w:val="24"/>
        </w:rPr>
        <w:t>。</w:t>
      </w:r>
    </w:p>
    <w:p w14:paraId="6D45B460">
      <w:pPr>
        <w:spacing w:line="560" w:lineRule="exact"/>
        <w:ind w:firstLine="480" w:firstLineChars="200"/>
        <w:rPr>
          <w:rFonts w:hint="eastAsia" w:ascii="宋体" w:hAnsi="宋体" w:cs="仿宋_GB2312"/>
          <w:sz w:val="24"/>
          <w:szCs w:val="24"/>
        </w:rPr>
      </w:pPr>
      <w:r>
        <w:rPr>
          <w:rFonts w:hint="eastAsia" w:ascii="宋体" w:hAnsi="宋体" w:cs="仿宋_GB2312"/>
          <w:sz w:val="24"/>
          <w:szCs w:val="24"/>
        </w:rPr>
        <w:t>2、报价资料需按照医院要求格式报价。（附件2）</w:t>
      </w:r>
    </w:p>
    <w:p w14:paraId="3472BAC9">
      <w:pPr>
        <w:spacing w:line="360" w:lineRule="auto"/>
        <w:ind w:firstLine="480" w:firstLineChars="200"/>
        <w:rPr>
          <w:rFonts w:hint="eastAsia" w:ascii="宋体" w:hAnsi="宋体" w:cs="仿宋_GB2312"/>
          <w:sz w:val="24"/>
          <w:szCs w:val="24"/>
        </w:rPr>
      </w:pPr>
      <w:r>
        <w:rPr>
          <w:rFonts w:hint="eastAsia" w:ascii="宋体" w:hAnsi="宋体" w:cs="仿宋_GB2312"/>
          <w:sz w:val="24"/>
          <w:szCs w:val="24"/>
        </w:rPr>
        <w:t>3、提供电子版报价资料和相关服务</w:t>
      </w:r>
      <w:r>
        <w:rPr>
          <w:rFonts w:hint="eastAsia" w:ascii="宋体" w:hAnsi="宋体" w:cs="仿宋_GB2312"/>
          <w:sz w:val="24"/>
          <w:szCs w:val="24"/>
          <w:lang w:eastAsia="zh-CN"/>
        </w:rPr>
        <w:t>方案</w:t>
      </w:r>
      <w:r>
        <w:rPr>
          <w:rFonts w:hint="eastAsia" w:ascii="宋体" w:hAnsi="宋体" w:cs="仿宋_GB2312"/>
          <w:sz w:val="24"/>
          <w:szCs w:val="24"/>
        </w:rPr>
        <w:t>简介资料，以便医院甄选使用（U盘密封递交）</w:t>
      </w:r>
    </w:p>
    <w:p w14:paraId="11D4DA37">
      <w:pPr>
        <w:spacing w:line="360" w:lineRule="auto"/>
        <w:ind w:firstLine="480" w:firstLineChars="200"/>
        <w:rPr>
          <w:rFonts w:hint="eastAsia" w:hAnsi="宋体" w:cs="仿宋_GB2312"/>
          <w:sz w:val="24"/>
          <w:szCs w:val="24"/>
        </w:rPr>
      </w:pPr>
      <w:r>
        <w:rPr>
          <w:rFonts w:hint="eastAsia" w:hAnsi="宋体" w:cs="仿宋_GB2312"/>
          <w:sz w:val="24"/>
          <w:szCs w:val="24"/>
        </w:rPr>
        <w:t xml:space="preserve">4、参与供应商应符合《政府采购法》第二十二条的相关资质要求，具备相关资质。并提供相关证明材料或承诺函。 </w:t>
      </w:r>
    </w:p>
    <w:p w14:paraId="18720D96">
      <w:pPr>
        <w:spacing w:line="360" w:lineRule="auto"/>
        <w:ind w:firstLine="480" w:firstLineChars="200"/>
        <w:rPr>
          <w:rFonts w:hAnsi="宋体"/>
          <w:sz w:val="24"/>
          <w:szCs w:val="24"/>
        </w:rPr>
      </w:pPr>
      <w:r>
        <w:rPr>
          <w:rFonts w:hint="eastAsia" w:hAnsi="宋体"/>
          <w:sz w:val="24"/>
          <w:szCs w:val="24"/>
        </w:rPr>
        <w:t>5、拟参与本项目的供应商如需了解项目情况，自行对接该项目负责人了解相关信息。</w:t>
      </w:r>
    </w:p>
    <w:p w14:paraId="053AA85D">
      <w:pPr>
        <w:pStyle w:val="2"/>
        <w:ind w:firstLine="480" w:firstLineChars="200"/>
      </w:pPr>
      <w:r>
        <w:rPr>
          <w:rFonts w:hint="eastAsia" w:hAnsi="宋体" w:cs="仿宋_GB2312"/>
          <w:sz w:val="24"/>
          <w:szCs w:val="24"/>
        </w:rPr>
        <w:t>6、所有递交资料及相关证明材料必须加盖供应商鲜章有效。</w:t>
      </w:r>
    </w:p>
    <w:p w14:paraId="53F6BAEA">
      <w:pPr>
        <w:spacing w:line="480" w:lineRule="auto"/>
        <w:rPr>
          <w:b/>
          <w:bCs/>
        </w:rPr>
      </w:pPr>
      <w:r>
        <w:rPr>
          <w:rFonts w:hint="eastAsia" w:ascii="宋体" w:hAnsi="宋体" w:cs="仿宋_GB2312"/>
          <w:b/>
          <w:bCs/>
          <w:sz w:val="24"/>
          <w:szCs w:val="24"/>
        </w:rPr>
        <w:t>三、本次公开询价结果只作为本项目采购预算价，不作为成交价。</w:t>
      </w:r>
    </w:p>
    <w:p w14:paraId="08556C05">
      <w:pPr>
        <w:spacing w:line="480" w:lineRule="auto"/>
        <w:rPr>
          <w:rFonts w:hint="eastAsia" w:ascii="宋体" w:hAnsi="宋体" w:cs="仿宋_GB2312"/>
          <w:b/>
          <w:bCs/>
          <w:sz w:val="24"/>
          <w:szCs w:val="24"/>
        </w:rPr>
      </w:pPr>
      <w:r>
        <w:rPr>
          <w:rFonts w:hint="eastAsia" w:ascii="宋体" w:hAnsi="宋体" w:cs="仿宋_GB2312"/>
          <w:b/>
          <w:bCs/>
          <w:sz w:val="24"/>
          <w:szCs w:val="24"/>
        </w:rPr>
        <w:t>四、其他事项</w:t>
      </w:r>
    </w:p>
    <w:p w14:paraId="68FD5C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sz w:val="24"/>
          <w:szCs w:val="24"/>
          <w:lang w:val="en-US" w:eastAsia="zh-CN"/>
        </w:rPr>
      </w:pPr>
      <w:bookmarkStart w:id="1" w:name="_Toc20249"/>
      <w:bookmarkStart w:id="2" w:name="_Toc20665"/>
      <w:r>
        <w:rPr>
          <w:rFonts w:hint="eastAsia" w:ascii="宋体" w:hAnsi="宋体" w:eastAsia="宋体" w:cs="仿宋_GB2312"/>
          <w:sz w:val="24"/>
          <w:szCs w:val="24"/>
          <w:lang w:val="en-US" w:eastAsia="zh-CN"/>
        </w:rPr>
        <w:t>1、报名资料接收时间：（2024年8月22 日-2024年8月23 日工作时间9:00-16:00；文件接收截止日期：2024年8月 26日16：00）递交</w:t>
      </w:r>
      <w:r>
        <w:rPr>
          <w:rFonts w:hint="eastAsia" w:ascii="宋体" w:hAnsi="宋体" w:cs="仿宋_GB2312"/>
          <w:color w:val="auto"/>
          <w:sz w:val="24"/>
          <w:szCs w:val="24"/>
          <w:highlight w:val="none"/>
        </w:rPr>
        <w:t>资料人员须为法人</w:t>
      </w:r>
      <w:r>
        <w:rPr>
          <w:rFonts w:hint="eastAsia" w:ascii="宋体" w:hAnsi="宋体" w:cs="仿宋_GB2312"/>
          <w:sz w:val="24"/>
          <w:szCs w:val="24"/>
        </w:rPr>
        <w:t>或授权委托人并提供证明文件查看。</w:t>
      </w:r>
      <w:r>
        <w:rPr>
          <w:rFonts w:hint="eastAsia" w:ascii="宋体" w:hAnsi="宋体" w:cs="仿宋_GB2312"/>
          <w:sz w:val="24"/>
          <w:szCs w:val="24"/>
          <w:lang w:eastAsia="zh-CN"/>
        </w:rPr>
        <w:t>报名登记表见附件</w:t>
      </w:r>
      <w:r>
        <w:rPr>
          <w:rFonts w:hint="eastAsia" w:ascii="宋体" w:hAnsi="宋体" w:cs="仿宋_GB2312"/>
          <w:sz w:val="24"/>
          <w:szCs w:val="24"/>
          <w:lang w:val="en-US" w:eastAsia="zh-CN"/>
        </w:rPr>
        <w:t>3。</w:t>
      </w:r>
    </w:p>
    <w:p w14:paraId="454F15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rPr>
      </w:pPr>
      <w:r>
        <w:rPr>
          <w:rFonts w:hint="eastAsia" w:ascii="宋体" w:hAnsi="宋体" w:cs="仿宋_GB2312"/>
          <w:sz w:val="24"/>
          <w:szCs w:val="24"/>
          <w:lang w:val="en-US" w:eastAsia="zh-CN"/>
        </w:rPr>
        <w:t>2</w:t>
      </w:r>
      <w:r>
        <w:rPr>
          <w:rFonts w:hint="eastAsia" w:ascii="宋体" w:hAnsi="宋体" w:cs="仿宋_GB2312"/>
          <w:sz w:val="24"/>
          <w:szCs w:val="24"/>
        </w:rPr>
        <w:t>、公示人：成都市新津区中医医院 地址：成都市新津区西创大道1389号</w:t>
      </w:r>
    </w:p>
    <w:p w14:paraId="6ACB46AD">
      <w:pPr>
        <w:spacing w:line="480" w:lineRule="auto"/>
        <w:ind w:firstLine="480" w:firstLineChars="200"/>
        <w:rPr>
          <w:rFonts w:ascii="宋体" w:hAnsi="宋体" w:cs="方正小标宋简体"/>
          <w:bCs/>
          <w:sz w:val="36"/>
          <w:szCs w:val="36"/>
        </w:rPr>
      </w:pPr>
      <w:r>
        <w:rPr>
          <w:rFonts w:hint="eastAsia" w:ascii="宋体" w:hAnsi="宋体" w:cs="仿宋_GB2312"/>
          <w:sz w:val="24"/>
          <w:szCs w:val="24"/>
          <w:lang w:val="en-US" w:eastAsia="zh-CN"/>
        </w:rPr>
        <w:t>3</w:t>
      </w:r>
      <w:r>
        <w:rPr>
          <w:rFonts w:hint="eastAsia" w:ascii="宋体" w:hAnsi="宋体" w:cs="仿宋_GB2312"/>
          <w:sz w:val="24"/>
          <w:szCs w:val="24"/>
        </w:rPr>
        <w:t>、报名联系人：</w:t>
      </w:r>
      <w:r>
        <w:rPr>
          <w:rFonts w:hint="eastAsia" w:ascii="宋体" w:hAnsi="宋体" w:cs="仿宋_GB2312"/>
          <w:sz w:val="24"/>
          <w:szCs w:val="24"/>
          <w:lang w:eastAsia="zh-CN"/>
        </w:rPr>
        <w:t>潘</w:t>
      </w:r>
      <w:r>
        <w:rPr>
          <w:rFonts w:hint="eastAsia" w:ascii="宋体" w:hAnsi="宋体" w:cs="仿宋_GB2312"/>
          <w:sz w:val="24"/>
          <w:szCs w:val="24"/>
        </w:rPr>
        <w:t>老师</w:t>
      </w:r>
      <w:r>
        <w:rPr>
          <w:rFonts w:hint="eastAsia" w:ascii="宋体" w:hAnsi="宋体" w:cs="仿宋_GB2312"/>
          <w:sz w:val="24"/>
          <w:szCs w:val="24"/>
          <w:lang w:eastAsia="zh-CN"/>
        </w:rPr>
        <w:t>、王老师</w:t>
      </w:r>
      <w:r>
        <w:rPr>
          <w:rFonts w:hint="eastAsia" w:ascii="宋体" w:hAnsi="宋体" w:cs="仿宋_GB2312"/>
          <w:sz w:val="24"/>
          <w:szCs w:val="24"/>
        </w:rPr>
        <w:t xml:space="preserve">028-82526150  </w:t>
      </w:r>
      <w:r>
        <w:rPr>
          <w:rFonts w:hint="eastAsia" w:hAnsi="宋体" w:cs="仿宋_GB2312"/>
          <w:sz w:val="24"/>
          <w:szCs w:val="24"/>
        </w:rPr>
        <w:t>项目咨询联系人：周老师，18215605686</w:t>
      </w:r>
    </w:p>
    <w:p w14:paraId="56EC0838">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eastAsia="宋体"/>
          <w:lang w:val="en-US" w:eastAsia="zh-CN"/>
        </w:rPr>
      </w:pPr>
      <w:r>
        <w:rPr>
          <w:rFonts w:hint="eastAsia" w:ascii="宋体" w:hAnsi="宋体" w:eastAsia="宋体" w:cs="仿宋_GB2312"/>
          <w:kern w:val="2"/>
          <w:sz w:val="24"/>
          <w:szCs w:val="24"/>
          <w:lang w:val="en-US" w:eastAsia="zh-CN" w:bidi="ar-SA"/>
        </w:rPr>
        <w:t>4、报名供应商可通过邮箱171650375@qq.com报名。报名需提交报名登记表及登记表要求的相关资质资料（盖公章）。</w:t>
      </w:r>
    </w:p>
    <w:p w14:paraId="0810B193">
      <w:pPr>
        <w:spacing w:line="700" w:lineRule="exact"/>
        <w:rPr>
          <w:rFonts w:hint="eastAsia" w:ascii="宋体" w:hAnsi="宋体" w:cs="方正小标宋简体"/>
          <w:bCs/>
          <w:sz w:val="36"/>
          <w:szCs w:val="36"/>
        </w:rPr>
      </w:pPr>
      <w:r>
        <w:rPr>
          <w:rFonts w:hint="eastAsia" w:ascii="宋体" w:hAnsi="宋体" w:cs="方正小标宋简体"/>
          <w:bCs/>
          <w:sz w:val="36"/>
          <w:szCs w:val="36"/>
        </w:rPr>
        <w:t>附件1：采购需求</w:t>
      </w:r>
    </w:p>
    <w:p w14:paraId="7E6E644E">
      <w:pPr>
        <w:pStyle w:val="7"/>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因病理科无病理系统，无法顺利进行病理检验申请、实验室标本的接收、处置、保存、数据统计等工作，同时无相关系统支持本院自主出具病理报告、报告亦无法与医院HIS系统对接及时发放到临床，现需购置专业病理系统满足业务工作。</w:t>
      </w:r>
    </w:p>
    <w:p w14:paraId="27D12A2B">
      <w:pPr>
        <w:numPr>
          <w:ilvl w:val="0"/>
          <w:numId w:val="2"/>
        </w:numPr>
        <w:spacing w:line="560" w:lineRule="exact"/>
        <w:rPr>
          <w:rFonts w:hint="eastAsia" w:ascii="黑体" w:hAnsi="黑体" w:eastAsia="黑体" w:cs="黑体"/>
          <w:bCs/>
          <w:kern w:val="0"/>
          <w:sz w:val="32"/>
          <w:szCs w:val="32"/>
        </w:rPr>
      </w:pPr>
      <w:r>
        <w:rPr>
          <w:rFonts w:hint="eastAsia" w:ascii="黑体" w:hAnsi="黑体" w:eastAsia="黑体" w:cs="黑体"/>
          <w:bCs/>
          <w:kern w:val="0"/>
          <w:sz w:val="32"/>
          <w:szCs w:val="32"/>
          <w:lang w:eastAsia="zh-CN"/>
        </w:rPr>
        <w:t>具体工作</w:t>
      </w:r>
      <w:r>
        <w:rPr>
          <w:rFonts w:hint="eastAsia" w:ascii="黑体" w:hAnsi="黑体" w:eastAsia="黑体" w:cs="黑体"/>
          <w:bCs/>
          <w:kern w:val="0"/>
          <w:sz w:val="32"/>
          <w:szCs w:val="32"/>
        </w:rPr>
        <w:t>内容清单：</w:t>
      </w:r>
    </w:p>
    <w:tbl>
      <w:tblPr>
        <w:tblStyle w:val="9"/>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690"/>
        <w:gridCol w:w="5852"/>
        <w:gridCol w:w="1013"/>
        <w:gridCol w:w="1013"/>
      </w:tblGrid>
      <w:tr w14:paraId="169E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649" w:type="dxa"/>
            <w:noWrap w:val="0"/>
            <w:vAlign w:val="top"/>
          </w:tcPr>
          <w:p w14:paraId="24C3E2A6">
            <w:pPr>
              <w:rPr>
                <w:rFonts w:hint="default"/>
                <w:vertAlign w:val="baseline"/>
                <w:lang w:val="en-US" w:eastAsia="zh-CN"/>
              </w:rPr>
            </w:pPr>
            <w:r>
              <w:rPr>
                <w:rFonts w:hint="eastAsia"/>
                <w:vertAlign w:val="baseline"/>
                <w:lang w:val="en-US" w:eastAsia="zh-CN"/>
              </w:rPr>
              <w:t>序号</w:t>
            </w:r>
          </w:p>
        </w:tc>
        <w:tc>
          <w:tcPr>
            <w:tcW w:w="690" w:type="dxa"/>
            <w:noWrap w:val="0"/>
            <w:vAlign w:val="top"/>
          </w:tcPr>
          <w:p w14:paraId="67AA7952">
            <w:pPr>
              <w:rPr>
                <w:rFonts w:hint="default"/>
                <w:vertAlign w:val="baseline"/>
                <w:lang w:val="en-US" w:eastAsia="zh-CN"/>
              </w:rPr>
            </w:pPr>
            <w:r>
              <w:rPr>
                <w:rFonts w:hint="eastAsia"/>
                <w:vertAlign w:val="baseline"/>
                <w:lang w:val="en-US" w:eastAsia="zh-CN"/>
              </w:rPr>
              <w:t>名称</w:t>
            </w:r>
          </w:p>
        </w:tc>
        <w:tc>
          <w:tcPr>
            <w:tcW w:w="5852" w:type="dxa"/>
            <w:noWrap w:val="0"/>
            <w:vAlign w:val="top"/>
          </w:tcPr>
          <w:p w14:paraId="70121DFF">
            <w:pPr>
              <w:rPr>
                <w:rFonts w:hint="default"/>
                <w:vertAlign w:val="baseline"/>
                <w:lang w:val="en-US" w:eastAsia="zh-CN"/>
              </w:rPr>
            </w:pPr>
            <w:r>
              <w:rPr>
                <w:rFonts w:hint="eastAsia"/>
                <w:vertAlign w:val="baseline"/>
                <w:lang w:val="en-US" w:eastAsia="zh-CN"/>
              </w:rPr>
              <w:t>功能需求</w:t>
            </w:r>
          </w:p>
        </w:tc>
        <w:tc>
          <w:tcPr>
            <w:tcW w:w="1013" w:type="dxa"/>
            <w:noWrap w:val="0"/>
            <w:vAlign w:val="top"/>
          </w:tcPr>
          <w:p w14:paraId="7AF248DF">
            <w:pPr>
              <w:rPr>
                <w:rFonts w:hint="default"/>
                <w:vertAlign w:val="baseline"/>
                <w:lang w:val="en-US" w:eastAsia="zh-CN"/>
              </w:rPr>
            </w:pPr>
            <w:r>
              <w:rPr>
                <w:rFonts w:hint="eastAsia"/>
                <w:vertAlign w:val="baseline"/>
                <w:lang w:val="en-US" w:eastAsia="zh-CN"/>
              </w:rPr>
              <w:t>数量</w:t>
            </w:r>
          </w:p>
        </w:tc>
        <w:tc>
          <w:tcPr>
            <w:tcW w:w="1013" w:type="dxa"/>
            <w:noWrap w:val="0"/>
            <w:vAlign w:val="top"/>
          </w:tcPr>
          <w:p w14:paraId="5E35264D">
            <w:pPr>
              <w:rPr>
                <w:rFonts w:hint="default"/>
                <w:vertAlign w:val="baseline"/>
                <w:lang w:val="en-US" w:eastAsia="zh-CN"/>
              </w:rPr>
            </w:pPr>
            <w:r>
              <w:rPr>
                <w:rFonts w:hint="eastAsia"/>
                <w:vertAlign w:val="baseline"/>
                <w:lang w:val="en-US" w:eastAsia="zh-CN"/>
              </w:rPr>
              <w:t>单位</w:t>
            </w:r>
          </w:p>
        </w:tc>
      </w:tr>
      <w:tr w14:paraId="1357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649" w:type="dxa"/>
            <w:noWrap w:val="0"/>
            <w:vAlign w:val="top"/>
          </w:tcPr>
          <w:p w14:paraId="7594C876">
            <w:pPr>
              <w:rPr>
                <w:rFonts w:hint="default"/>
                <w:vertAlign w:val="baseline"/>
                <w:lang w:val="en-US" w:eastAsia="zh-CN"/>
              </w:rPr>
            </w:pPr>
            <w:r>
              <w:rPr>
                <w:rFonts w:hint="eastAsia"/>
                <w:vertAlign w:val="baseline"/>
                <w:lang w:val="en-US" w:eastAsia="zh-CN"/>
              </w:rPr>
              <w:t>1</w:t>
            </w:r>
          </w:p>
        </w:tc>
        <w:tc>
          <w:tcPr>
            <w:tcW w:w="690" w:type="dxa"/>
            <w:noWrap w:val="0"/>
            <w:vAlign w:val="top"/>
          </w:tcPr>
          <w:p w14:paraId="59148BF6">
            <w:pPr>
              <w:jc w:val="both"/>
              <w:rPr>
                <w:rFonts w:hint="default"/>
                <w:vertAlign w:val="baseline"/>
                <w:lang w:val="en-US" w:eastAsia="zh-CN"/>
              </w:rPr>
            </w:pPr>
            <w:r>
              <w:rPr>
                <w:rFonts w:hint="eastAsia"/>
                <w:vertAlign w:val="baseline"/>
                <w:lang w:val="en-US" w:eastAsia="zh-CN"/>
              </w:rPr>
              <w:t>病理系统</w:t>
            </w:r>
          </w:p>
        </w:tc>
        <w:tc>
          <w:tcPr>
            <w:tcW w:w="5852" w:type="dxa"/>
            <w:noWrap w:val="0"/>
            <w:vAlign w:val="top"/>
          </w:tcPr>
          <w:p w14:paraId="4D0CB7A9">
            <w:pPr>
              <w:pStyle w:val="6"/>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病理</w:t>
            </w:r>
            <w:r>
              <w:rPr>
                <w:rFonts w:hint="eastAsia" w:ascii="宋体" w:hAnsi="宋体" w:eastAsia="宋体" w:cs="宋体"/>
                <w:b w:val="0"/>
                <w:bCs/>
                <w:sz w:val="21"/>
                <w:szCs w:val="21"/>
                <w:lang w:val="en-US" w:eastAsia="zh-CN"/>
              </w:rPr>
              <w:t>信息系统服务端</w:t>
            </w:r>
          </w:p>
          <w:p w14:paraId="64B348B8">
            <w:pPr>
              <w:pStyle w:val="6"/>
              <w:pageBreakBefore w:val="0"/>
              <w:numPr>
                <w:ilvl w:val="0"/>
                <w:numId w:val="3"/>
              </w:numPr>
              <w:kinsoku/>
              <w:wordWrap/>
              <w:overflowPunct/>
              <w:topLinePunct w:val="0"/>
              <w:autoSpaceDE/>
              <w:autoSpaceDN/>
              <w:bidi w:val="0"/>
              <w:spacing w:line="240" w:lineRule="auto"/>
              <w:ind w:left="420" w:hanging="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基于WINDOWS SERVER平台。支持Oracle， SQL Server 等大型关系型数据库</w:t>
            </w:r>
            <w:r>
              <w:rPr>
                <w:rFonts w:hint="eastAsia" w:ascii="宋体" w:hAnsi="宋体" w:eastAsia="宋体" w:cs="宋体"/>
                <w:b w:val="0"/>
                <w:bCs/>
                <w:sz w:val="21"/>
                <w:szCs w:val="21"/>
                <w:lang w:eastAsia="zh-CN"/>
              </w:rPr>
              <w:t>，并支持国产数据库。</w:t>
            </w:r>
          </w:p>
          <w:p w14:paraId="57623E7F">
            <w:pPr>
              <w:pStyle w:val="6"/>
              <w:pageBreakBefore w:val="0"/>
              <w:numPr>
                <w:ilvl w:val="0"/>
                <w:numId w:val="3"/>
              </w:numPr>
              <w:kinsoku/>
              <w:wordWrap/>
              <w:overflowPunct/>
              <w:topLinePunct w:val="0"/>
              <w:autoSpaceDE/>
              <w:autoSpaceDN/>
              <w:bidi w:val="0"/>
              <w:spacing w:line="240" w:lineRule="auto"/>
              <w:ind w:left="420" w:hanging="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支持采用集中式数据库及独立影像储存管理机制，记录所有影像的存储位置，支持影像的分级存储。</w:t>
            </w:r>
          </w:p>
          <w:p w14:paraId="0534D1DD">
            <w:pPr>
              <w:pStyle w:val="6"/>
              <w:pageBreakBefore w:val="0"/>
              <w:numPr>
                <w:ilvl w:val="0"/>
                <w:numId w:val="3"/>
              </w:numPr>
              <w:kinsoku/>
              <w:wordWrap/>
              <w:overflowPunct/>
              <w:topLinePunct w:val="0"/>
              <w:autoSpaceDE/>
              <w:autoSpaceDN/>
              <w:bidi w:val="0"/>
              <w:spacing w:line="240" w:lineRule="auto"/>
              <w:ind w:left="420" w:hanging="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病理信息系统要能够全面支持病理科日常工作的全流程管理，满足各环节特定的功能要求</w:t>
            </w:r>
          </w:p>
          <w:p w14:paraId="29BFBE06">
            <w:pPr>
              <w:pStyle w:val="6"/>
              <w:pageBreakBefore w:val="0"/>
              <w:numPr>
                <w:ilvl w:val="0"/>
                <w:numId w:val="3"/>
              </w:numPr>
              <w:kinsoku/>
              <w:wordWrap/>
              <w:overflowPunct/>
              <w:topLinePunct w:val="0"/>
              <w:autoSpaceDE/>
              <w:autoSpaceDN/>
              <w:bidi w:val="0"/>
              <w:spacing w:line="240" w:lineRule="auto"/>
              <w:ind w:left="420" w:hanging="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系统采用平台化设计，所有功能模块集成在同一平台下，一次登录可以操作所有权限内的所有功能模块，同一软件界面内所有功能模块并列显示存在，避免不同软件模块单独程序的松散模式带来的维护与使用的不便。</w:t>
            </w:r>
          </w:p>
          <w:p w14:paraId="135EF67D">
            <w:pPr>
              <w:pStyle w:val="6"/>
              <w:pageBreakBefore w:val="0"/>
              <w:numPr>
                <w:ilvl w:val="0"/>
                <w:numId w:val="3"/>
              </w:numPr>
              <w:kinsoku/>
              <w:wordWrap/>
              <w:overflowPunct/>
              <w:topLinePunct w:val="0"/>
              <w:autoSpaceDE/>
              <w:autoSpaceDN/>
              <w:bidi w:val="0"/>
              <w:spacing w:line="240" w:lineRule="auto"/>
              <w:ind w:left="420" w:hanging="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系统具有直观全面的日志管理模块，对系统的运行进行全面的日志记录与管理，确保系统运行的安全性与可追溯性。</w:t>
            </w:r>
          </w:p>
          <w:p w14:paraId="4D89A690">
            <w:pPr>
              <w:pStyle w:val="6"/>
              <w:pageBreakBefore w:val="0"/>
              <w:numPr>
                <w:ilvl w:val="0"/>
                <w:numId w:val="3"/>
              </w:numPr>
              <w:kinsoku/>
              <w:wordWrap/>
              <w:overflowPunct/>
              <w:topLinePunct w:val="0"/>
              <w:autoSpaceDE/>
              <w:autoSpaceDN/>
              <w:bidi w:val="0"/>
              <w:spacing w:line="240" w:lineRule="auto"/>
              <w:ind w:left="425" w:leftChars="0" w:hanging="425"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数据备份与恢复：定期备份数据库，确保在数据丢失或系统故障的情况下能够快速恢复数据。</w:t>
            </w:r>
          </w:p>
          <w:p w14:paraId="622B0D7F">
            <w:pPr>
              <w:pStyle w:val="6"/>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2、系统集成接口</w:t>
            </w:r>
          </w:p>
          <w:p w14:paraId="78816D0F">
            <w:pPr>
              <w:pStyle w:val="6"/>
              <w:pageBreakBefore w:val="0"/>
              <w:numPr>
                <w:ilvl w:val="0"/>
                <w:numId w:val="4"/>
              </w:numPr>
              <w:kinsoku/>
              <w:wordWrap/>
              <w:overflowPunct/>
              <w:topLinePunct w:val="0"/>
              <w:autoSpaceDE/>
              <w:autoSpaceDN/>
              <w:bidi w:val="0"/>
              <w:spacing w:line="240" w:lineRule="auto"/>
              <w:ind w:left="425" w:leftChars="0" w:hanging="425"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lang w:val="en-US" w:eastAsia="zh-CN"/>
              </w:rPr>
              <w:t>系统对接方式</w:t>
            </w:r>
            <w:r>
              <w:rPr>
                <w:rFonts w:hint="eastAsia" w:ascii="宋体" w:hAnsi="宋体" w:eastAsia="宋体" w:cs="宋体"/>
                <w:b w:val="0"/>
                <w:bCs/>
                <w:sz w:val="21"/>
                <w:szCs w:val="21"/>
                <w:highlight w:val="none"/>
                <w:lang w:val="en-US" w:eastAsia="zh-CN"/>
              </w:rPr>
              <w:t>支持：存储过程、中间视图、WebService、HISDLL、以及支持HL7协议的点对点推送信息等几种方式</w:t>
            </w:r>
          </w:p>
          <w:p w14:paraId="11B51E6D">
            <w:pPr>
              <w:pageBreakBefore w:val="0"/>
              <w:numPr>
                <w:ilvl w:val="0"/>
                <w:numId w:val="4"/>
              </w:numPr>
              <w:kinsoku/>
              <w:wordWrap/>
              <w:overflowPunct/>
              <w:topLinePunct w:val="0"/>
              <w:autoSpaceDE/>
              <w:autoSpaceDN/>
              <w:bidi w:val="0"/>
              <w:spacing w:line="240" w:lineRule="auto"/>
              <w:ind w:left="425" w:leftChars="0" w:hanging="425"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支持与HIS系统集成，实现从HIS当中获取患者资料；支持电子申请预约信息获取。</w:t>
            </w:r>
          </w:p>
          <w:p w14:paraId="51479306">
            <w:pPr>
              <w:pageBreakBefore w:val="0"/>
              <w:numPr>
                <w:ilvl w:val="0"/>
                <w:numId w:val="4"/>
              </w:numPr>
              <w:kinsoku/>
              <w:wordWrap/>
              <w:overflowPunct/>
              <w:topLinePunct w:val="0"/>
              <w:autoSpaceDE/>
              <w:autoSpaceDN/>
              <w:bidi w:val="0"/>
              <w:spacing w:line="240" w:lineRule="auto"/>
              <w:ind w:left="425" w:leftChars="0" w:hanging="425"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支持通过接口自动将生成的图像数据回传到HIS系统，支持检查数据集中存储、集中发布、预览以及临床调阅，实现系统互联互通。</w:t>
            </w:r>
          </w:p>
          <w:p w14:paraId="560112A4">
            <w:pPr>
              <w:pageBreakBefore w:val="0"/>
              <w:numPr>
                <w:ilvl w:val="0"/>
                <w:numId w:val="4"/>
              </w:numPr>
              <w:kinsoku/>
              <w:wordWrap/>
              <w:overflowPunct/>
              <w:topLinePunct w:val="0"/>
              <w:autoSpaceDE/>
              <w:autoSpaceDN/>
              <w:bidi w:val="0"/>
              <w:spacing w:line="240" w:lineRule="auto"/>
              <w:ind w:left="425" w:leftChars="0" w:hanging="425"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系统支持与数字CA系统进行对接，保证检查报告的电子签名有效性</w:t>
            </w:r>
            <w:r>
              <w:rPr>
                <w:rFonts w:hint="eastAsia" w:ascii="宋体" w:hAnsi="宋体" w:cs="宋体"/>
                <w:b w:val="0"/>
                <w:bCs/>
                <w:sz w:val="21"/>
                <w:szCs w:val="21"/>
                <w:highlight w:val="none"/>
                <w:lang w:val="en-US" w:eastAsia="zh-CN"/>
              </w:rPr>
              <w:t>.</w:t>
            </w:r>
          </w:p>
          <w:p w14:paraId="458A80F6">
            <w:pPr>
              <w:pageBreakBefore w:val="0"/>
              <w:numPr>
                <w:ilvl w:val="0"/>
                <w:numId w:val="4"/>
              </w:numPr>
              <w:kinsoku/>
              <w:wordWrap/>
              <w:overflowPunct/>
              <w:topLinePunct w:val="0"/>
              <w:autoSpaceDE/>
              <w:autoSpaceDN/>
              <w:bidi w:val="0"/>
              <w:spacing w:line="240" w:lineRule="auto"/>
              <w:ind w:left="425" w:leftChars="0" w:hanging="425"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所有项目涉及的接口改造由中标方负责完成，包括接口协调和费用，包含但不限于his系统接口、CA接口。</w:t>
            </w:r>
          </w:p>
          <w:p w14:paraId="55A77E43">
            <w:pPr>
              <w:pStyle w:val="6"/>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临床浏览</w:t>
            </w:r>
            <w:r>
              <w:rPr>
                <w:rFonts w:hint="eastAsia" w:ascii="宋体" w:hAnsi="宋体" w:eastAsia="宋体" w:cs="宋体"/>
                <w:b w:val="0"/>
                <w:bCs/>
                <w:sz w:val="21"/>
                <w:szCs w:val="21"/>
                <w:lang w:val="en-US" w:eastAsia="zh-CN"/>
              </w:rPr>
              <w:t>模块</w:t>
            </w:r>
          </w:p>
          <w:p w14:paraId="43206509">
            <w:pPr>
              <w:pStyle w:val="6"/>
              <w:pageBreakBefore w:val="0"/>
              <w:numPr>
                <w:ilvl w:val="0"/>
                <w:numId w:val="5"/>
              </w:numPr>
              <w:kinsoku/>
              <w:wordWrap/>
              <w:overflowPunct/>
              <w:topLinePunct w:val="0"/>
              <w:autoSpaceDE/>
              <w:autoSpaceDN/>
              <w:bidi w:val="0"/>
              <w:spacing w:line="240" w:lineRule="auto"/>
              <w:ind w:left="425" w:leftChars="0" w:hanging="425"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可根据患者姓名、住院号、日期等进行多条件组合查询。</w:t>
            </w:r>
          </w:p>
          <w:p w14:paraId="37B06CDC">
            <w:pPr>
              <w:pStyle w:val="6"/>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支持诊断内容文本和图文一体化报告查看方式。</w:t>
            </w:r>
          </w:p>
          <w:p w14:paraId="5D77A0F3">
            <w:pPr>
              <w:pStyle w:val="6"/>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Web打印支持再次打印申请流程，并且病理科拒绝Web浏览二次打印申请时可以添加原因。</w:t>
            </w:r>
          </w:p>
          <w:p w14:paraId="50666616">
            <w:pPr>
              <w:pStyle w:val="6"/>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电子申请单</w:t>
            </w:r>
            <w:r>
              <w:rPr>
                <w:rFonts w:hint="eastAsia" w:ascii="宋体" w:hAnsi="宋体" w:eastAsia="宋体" w:cs="宋体"/>
                <w:b w:val="0"/>
                <w:bCs/>
                <w:sz w:val="21"/>
                <w:szCs w:val="21"/>
                <w:lang w:val="en-US" w:eastAsia="zh-CN"/>
              </w:rPr>
              <w:t>模块</w:t>
            </w:r>
          </w:p>
          <w:p w14:paraId="3BE52E8E">
            <w:pPr>
              <w:pStyle w:val="11"/>
              <w:pageBreakBefore w:val="0"/>
              <w:widowControl/>
              <w:numPr>
                <w:ilvl w:val="0"/>
                <w:numId w:val="6"/>
              </w:numPr>
              <w:kinsoku/>
              <w:wordWrap/>
              <w:overflowPunct/>
              <w:topLinePunct w:val="0"/>
              <w:autoSpaceDE/>
              <w:autoSpaceDN/>
              <w:bidi w:val="0"/>
              <w:adjustRightInd w:val="0"/>
              <w:snapToGrid w:val="0"/>
              <w:spacing w:line="240" w:lineRule="auto"/>
              <w:ind w:left="420" w:hanging="420" w:firstLine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为临床医生提供规范的电子申请单。</w:t>
            </w:r>
          </w:p>
          <w:p w14:paraId="3D2CF7A4">
            <w:pPr>
              <w:pageBreakBefore w:val="0"/>
              <w:numPr>
                <w:ilvl w:val="0"/>
                <w:numId w:val="6"/>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根据病理检查医嘱信息自动匹配电子申请单，临床医生在HIS下病理检查医嘱后，点击“下申请”按钮，系统会自动根据医生所开的医嘱信息，自动判断常规、细胞学、TCT、分子病理检查等检查类型，为临床医生呈现与检查项目相匹配的申请单填写页面。</w:t>
            </w:r>
          </w:p>
          <w:p w14:paraId="6E890A49">
            <w:pPr>
              <w:pageBreakBefore w:val="0"/>
              <w:numPr>
                <w:ilvl w:val="0"/>
                <w:numId w:val="6"/>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申请单支持结构化点选，快速完成申请。</w:t>
            </w:r>
          </w:p>
          <w:p w14:paraId="49C8EBB1">
            <w:pPr>
              <w:pageBreakBefore w:val="0"/>
              <w:numPr>
                <w:ilvl w:val="0"/>
                <w:numId w:val="6"/>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申请单可完成新增标本、编辑标本、删除标本操作。</w:t>
            </w:r>
          </w:p>
          <w:p w14:paraId="31FC7EF3">
            <w:pPr>
              <w:pageBreakBefore w:val="0"/>
              <w:numPr>
                <w:ilvl w:val="0"/>
                <w:numId w:val="6"/>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申请单支持保存、取消、提交操作。</w:t>
            </w:r>
          </w:p>
          <w:p w14:paraId="381AEB82">
            <w:pPr>
              <w:pageBreakBefore w:val="0"/>
              <w:numPr>
                <w:ilvl w:val="0"/>
                <w:numId w:val="6"/>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系统支持打印纸质申请单和标本二维码标签。</w:t>
            </w:r>
          </w:p>
          <w:p w14:paraId="7AEA5FE0">
            <w:pPr>
              <w:pageBreakBefore w:val="0"/>
              <w:numPr>
                <w:ilvl w:val="0"/>
                <w:numId w:val="6"/>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系统支持标本转运的监管，医生、护士通过扫码的形式完成标本状态追踪。</w:t>
            </w:r>
          </w:p>
          <w:p w14:paraId="4EE824C9">
            <w:pPr>
              <w:pStyle w:val="6"/>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5、病理标本登记模块</w:t>
            </w:r>
          </w:p>
          <w:p w14:paraId="3A591552">
            <w:pPr>
              <w:pStyle w:val="11"/>
              <w:pageBreakBefore w:val="0"/>
              <w:widowControl/>
              <w:numPr>
                <w:ilvl w:val="0"/>
                <w:numId w:val="7"/>
              </w:numPr>
              <w:kinsoku/>
              <w:wordWrap/>
              <w:overflowPunct/>
              <w:topLinePunct w:val="0"/>
              <w:autoSpaceDE/>
              <w:autoSpaceDN/>
              <w:bidi w:val="0"/>
              <w:adjustRightInd w:val="0"/>
              <w:snapToGrid w:val="0"/>
              <w:spacing w:line="240" w:lineRule="auto"/>
              <w:ind w:left="420" w:hanging="420" w:firstLine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该软件模块安装在病理科接收标本的窗口，负责检查申请的录入、接收标本的登记和计价等工作。</w:t>
            </w:r>
          </w:p>
          <w:p w14:paraId="21B09A98">
            <w:pPr>
              <w:pageBreakBefore w:val="0"/>
              <w:numPr>
                <w:ilvl w:val="0"/>
                <w:numId w:val="7"/>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对于纸张申请，可以通过病人ID从HIS方提取病人的一般信息，直接录入标本、检查项目等信息。对于电子申请，可以通过标本上的申请条码直接确认申请。</w:t>
            </w:r>
          </w:p>
          <w:p w14:paraId="2F92162D">
            <w:pPr>
              <w:pageBreakBefore w:val="0"/>
              <w:numPr>
                <w:ilvl w:val="0"/>
                <w:numId w:val="7"/>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具备独立的外院会诊登记模块以适应其专属信息的录入，包括患者的基本信息、原切片单位、原病理号、切片部位、简要病史、原病理诊断及会诊送检标本的类型蜡块、白片、成片等。</w:t>
            </w:r>
          </w:p>
          <w:p w14:paraId="122EC943">
            <w:pPr>
              <w:pageBreakBefore w:val="0"/>
              <w:numPr>
                <w:ilvl w:val="0"/>
                <w:numId w:val="7"/>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标本登记时可对送检标本是否合格及不合格原因进行记录，用于送检标本的质控统计。对不合格标本可拒收，并打印不合格标本回执单。</w:t>
            </w:r>
          </w:p>
          <w:p w14:paraId="5D517A75">
            <w:pPr>
              <w:pageBreakBefore w:val="0"/>
              <w:numPr>
                <w:ilvl w:val="0"/>
                <w:numId w:val="7"/>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具备病理号条码打印功能，该条码粘贴于标本包装或纸质申请单上。</w:t>
            </w:r>
          </w:p>
          <w:p w14:paraId="309D8BAC">
            <w:pPr>
              <w:pageBreakBefore w:val="0"/>
              <w:numPr>
                <w:ilvl w:val="0"/>
                <w:numId w:val="7"/>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查询统计功能：提供申请查询、标本追踪、工作量统计等功能。</w:t>
            </w:r>
          </w:p>
          <w:p w14:paraId="6F687671">
            <w:pPr>
              <w:pageBreakBefore w:val="0"/>
              <w:numPr>
                <w:ilvl w:val="0"/>
                <w:numId w:val="7"/>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能够按病人ID查询其所有的病理号及其相对应的病理科所产生的所有信息，或根据病理号查询对应的病人。</w:t>
            </w:r>
          </w:p>
          <w:p w14:paraId="5EA0CB00">
            <w:pPr>
              <w:pStyle w:val="6"/>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6、病理取材管理模块</w:t>
            </w:r>
          </w:p>
          <w:p w14:paraId="54D91CCD">
            <w:pPr>
              <w:pageBreakBefore w:val="0"/>
              <w:numPr>
                <w:ilvl w:val="0"/>
                <w:numId w:val="8"/>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标本检查登记功能：对于标本的外观检查所见进行记录。</w:t>
            </w:r>
          </w:p>
          <w:p w14:paraId="28ED212E">
            <w:pPr>
              <w:pageBreakBefore w:val="0"/>
              <w:numPr>
                <w:ilvl w:val="0"/>
                <w:numId w:val="8"/>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通过条码扫描，可以从标本登记信息中查询出申请记录并自动打开。</w:t>
            </w:r>
          </w:p>
          <w:p w14:paraId="5257A92A">
            <w:pPr>
              <w:pageBreakBefore w:val="0"/>
              <w:numPr>
                <w:ilvl w:val="0"/>
                <w:numId w:val="8"/>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提供待取材任务列表及技术医嘱中补取病例，可以从列表中选择检查申请并打开。</w:t>
            </w:r>
          </w:p>
          <w:p w14:paraId="540E2D9A">
            <w:pPr>
              <w:pageBreakBefore w:val="0"/>
              <w:numPr>
                <w:ilvl w:val="0"/>
                <w:numId w:val="8"/>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取材时系统自动提示该病例历史冰冻记录，并可查看。</w:t>
            </w:r>
          </w:p>
          <w:p w14:paraId="36CB91AD">
            <w:pPr>
              <w:pageBreakBefore w:val="0"/>
              <w:numPr>
                <w:ilvl w:val="0"/>
                <w:numId w:val="8"/>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支持同一患者同次送检多袋标本的分袋排序，并可在所对应的标本袋序列后进行对应标本的大体描述记录。</w:t>
            </w:r>
          </w:p>
          <w:p w14:paraId="4AAAADFC">
            <w:pPr>
              <w:pageBreakBefore w:val="0"/>
              <w:numPr>
                <w:ilvl w:val="0"/>
                <w:numId w:val="8"/>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支持取材环节同一患者“添加标本”（增加标本袋序列）的快捷操作。</w:t>
            </w:r>
          </w:p>
          <w:p w14:paraId="6E2F67A5">
            <w:pPr>
              <w:pageBreakBefore w:val="0"/>
              <w:numPr>
                <w:ilvl w:val="0"/>
                <w:numId w:val="8"/>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对大体标本提供照相采集功能，照相设备可手动或自动调整焦距以满足大标本或小标本等不同类型标本的图像采集要求，采集的图像保存到影像服务器。</w:t>
            </w:r>
          </w:p>
          <w:p w14:paraId="74DC96D6">
            <w:pPr>
              <w:pageBreakBefore w:val="0"/>
              <w:numPr>
                <w:ilvl w:val="0"/>
                <w:numId w:val="8"/>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取材块移交功能模块：将纸质移交核对工作以信息化软件模块的方式进行操作、记录与核对</w:t>
            </w:r>
          </w:p>
          <w:p w14:paraId="0E9925E9">
            <w:pPr>
              <w:pStyle w:val="6"/>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7、病理技术管理模块</w:t>
            </w:r>
          </w:p>
          <w:p w14:paraId="3AA0FCCE">
            <w:pPr>
              <w:pageBreakBefore w:val="0"/>
              <w:numPr>
                <w:ilvl w:val="0"/>
                <w:numId w:val="9"/>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包埋分配功能：技师长可通过此模块将技术工作分派给每个技师，技师只需通过本人账号登录系统，即可查看到由技师长分配属于自己的工作列表。</w:t>
            </w:r>
          </w:p>
          <w:p w14:paraId="30F5635B">
            <w:pPr>
              <w:pageBreakBefore w:val="0"/>
              <w:numPr>
                <w:ilvl w:val="0"/>
                <w:numId w:val="9"/>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包埋确认功能：对于制作的每个蜡块，在系统中确认其检查状态。</w:t>
            </w:r>
          </w:p>
          <w:p w14:paraId="79C34AB4">
            <w:pPr>
              <w:pageBreakBefore w:val="0"/>
              <w:numPr>
                <w:ilvl w:val="0"/>
                <w:numId w:val="9"/>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扫描包埋盒确认包埋每个蜡块，当有提醒信息时弹窗提醒。</w:t>
            </w:r>
          </w:p>
          <w:p w14:paraId="6B9E28F6">
            <w:pPr>
              <w:pageBreakBefore w:val="0"/>
              <w:numPr>
                <w:ilvl w:val="0"/>
                <w:numId w:val="9"/>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包埋过程中可记录出现的问题及解决办法，可提醒后续工作人员。</w:t>
            </w:r>
          </w:p>
          <w:p w14:paraId="68D3B5E8">
            <w:pPr>
              <w:pageBreakBefore w:val="0"/>
              <w:numPr>
                <w:ilvl w:val="0"/>
                <w:numId w:val="9"/>
              </w:numPr>
              <w:kinsoku/>
              <w:wordWrap/>
              <w:overflowPunct/>
              <w:topLinePunct w:val="0"/>
              <w:autoSpaceDE/>
              <w:autoSpaceDN/>
              <w:bidi w:val="0"/>
              <w:spacing w:line="240" w:lineRule="auto"/>
              <w:ind w:left="420" w:leftChars="0" w:hanging="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制片分配功能：技师长可通过此模块将技术工作分派给每个技师，技师只需通过本人账号登录系统，即可查看到由技师长分配属于自己的工作列表。</w:t>
            </w:r>
          </w:p>
          <w:p w14:paraId="403D7F3E">
            <w:pPr>
              <w:pageBreakBefore w:val="0"/>
              <w:numPr>
                <w:ilvl w:val="0"/>
                <w:numId w:val="9"/>
              </w:numPr>
              <w:kinsoku/>
              <w:wordWrap/>
              <w:overflowPunct/>
              <w:topLinePunct w:val="0"/>
              <w:autoSpaceDE/>
              <w:autoSpaceDN/>
              <w:bidi w:val="0"/>
              <w:spacing w:line="240" w:lineRule="auto"/>
              <w:ind w:left="420" w:leftChars="0" w:hanging="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玻片标识打印功能：提供按任务列表批量打印玻片标识条码或通过玻片打印</w:t>
            </w:r>
            <w:r>
              <w:rPr>
                <w:rFonts w:hint="eastAsia" w:ascii="宋体" w:hAnsi="宋体" w:eastAsia="宋体" w:cs="宋体"/>
                <w:b w:val="0"/>
                <w:bCs/>
                <w:sz w:val="21"/>
                <w:szCs w:val="21"/>
                <w:lang w:eastAsia="zh-CN"/>
              </w:rPr>
              <w:t>设备</w:t>
            </w:r>
            <w:r>
              <w:rPr>
                <w:rFonts w:hint="eastAsia" w:ascii="宋体" w:hAnsi="宋体" w:eastAsia="宋体" w:cs="宋体"/>
                <w:b w:val="0"/>
                <w:bCs/>
                <w:sz w:val="21"/>
                <w:szCs w:val="21"/>
              </w:rPr>
              <w:t>直接打印出玻片的功能。</w:t>
            </w:r>
          </w:p>
          <w:p w14:paraId="19088CDB">
            <w:pPr>
              <w:pageBreakBefore w:val="0"/>
              <w:numPr>
                <w:ilvl w:val="0"/>
                <w:numId w:val="9"/>
              </w:numPr>
              <w:kinsoku/>
              <w:wordWrap/>
              <w:overflowPunct/>
              <w:topLinePunct w:val="0"/>
              <w:autoSpaceDE/>
              <w:autoSpaceDN/>
              <w:bidi w:val="0"/>
              <w:spacing w:line="240" w:lineRule="auto"/>
              <w:ind w:left="420" w:leftChars="0" w:hanging="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成品玻片确认功能：对于制作的成品玻片，在系统中确认其检查状态。</w:t>
            </w:r>
          </w:p>
          <w:p w14:paraId="16CAFA64">
            <w:pPr>
              <w:pageBreakBefore w:val="0"/>
              <w:numPr>
                <w:ilvl w:val="0"/>
                <w:numId w:val="9"/>
              </w:numPr>
              <w:kinsoku/>
              <w:wordWrap/>
              <w:overflowPunct/>
              <w:topLinePunct w:val="0"/>
              <w:autoSpaceDE/>
              <w:autoSpaceDN/>
              <w:bidi w:val="0"/>
              <w:spacing w:line="240" w:lineRule="auto"/>
              <w:ind w:left="420" w:leftChars="0" w:hanging="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扫码后自动打印玻片标签。</w:t>
            </w:r>
          </w:p>
          <w:p w14:paraId="76F2961A">
            <w:pPr>
              <w:pStyle w:val="6"/>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8、病理特检管理模块</w:t>
            </w:r>
          </w:p>
          <w:p w14:paraId="3FA32B57">
            <w:pPr>
              <w:pStyle w:val="11"/>
              <w:pageBreakBefore w:val="0"/>
              <w:widowControl/>
              <w:numPr>
                <w:ilvl w:val="0"/>
                <w:numId w:val="10"/>
              </w:numPr>
              <w:kinsoku/>
              <w:wordWrap/>
              <w:overflowPunct/>
              <w:topLinePunct w:val="0"/>
              <w:autoSpaceDE/>
              <w:autoSpaceDN/>
              <w:bidi w:val="0"/>
              <w:adjustRightInd w:val="0"/>
              <w:snapToGrid w:val="0"/>
              <w:spacing w:line="240" w:lineRule="auto"/>
              <w:ind w:left="420" w:hanging="420" w:firstLine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该软件模块安装运行在免疫组化及特殊染色、分子病理学检查、细胞DNA倍体分析检测等特殊检查工作台，负责特殊检查的登记等工作。</w:t>
            </w:r>
          </w:p>
          <w:p w14:paraId="27F7C488">
            <w:pPr>
              <w:pageBreakBefore w:val="0"/>
              <w:numPr>
                <w:ilvl w:val="0"/>
                <w:numId w:val="10"/>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检查任务列表功能：根据所在的检查组以及登录医生，自动提取该检查组对应的待检任务列表，医生可以选择其中的检查，确认检查。</w:t>
            </w:r>
          </w:p>
          <w:p w14:paraId="64AED753">
            <w:pPr>
              <w:pageBreakBefore w:val="0"/>
              <w:numPr>
                <w:ilvl w:val="0"/>
                <w:numId w:val="10"/>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支持科室现有全自动免疫组化染色系统，能将免疫组化或特染的抗体或染色剂等进行合并，并打出特检玻片标签。</w:t>
            </w:r>
          </w:p>
          <w:p w14:paraId="5F213C6E">
            <w:pPr>
              <w:pageBreakBefore w:val="0"/>
              <w:numPr>
                <w:ilvl w:val="0"/>
                <w:numId w:val="10"/>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提供医嘱管理模块，支持技师对医嘱的综合查询管理，可快速补充录入及申请补充报告的操作。</w:t>
            </w:r>
          </w:p>
          <w:p w14:paraId="18F0F852">
            <w:pPr>
              <w:pStyle w:val="6"/>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9、病理综合报告模块</w:t>
            </w:r>
          </w:p>
          <w:p w14:paraId="0F592DEE">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采用所见即所得一体化的报告编辑模式，让报告书写更直观方便，编辑窗口与打印出的报告格式完全一致，不需要任何切换操作即可参考相关信息并完成报告。</w:t>
            </w:r>
          </w:p>
          <w:p w14:paraId="7039F06A">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病理检查项目的平台化管理，对于不同检查项目{常规、冰冻、细胞学、TCT、HPV、分子病理、外院会诊、尸检等检查项目}，可在同一平台下进行统一查询、编辑、对比等操作，并以查询条件集的方式进行项目分类。</w:t>
            </w:r>
          </w:p>
          <w:p w14:paraId="64FB74E6">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图像另存功能：系统允许经特殊授权的用户在显示工作站上把显示的图像另存到本地存储介质，图像格式可以是JPEG、AVI、BMP或TIF。</w:t>
            </w:r>
          </w:p>
          <w:p w14:paraId="2C230DEF">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能够在同一界面中显示标本相关的基本信息、检查项目、取材描述、取材记录、标本原始图像、所对应检查类型的报告模板等信息。</w:t>
            </w:r>
          </w:p>
          <w:p w14:paraId="2F7D11B5">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支持多线程报告模式，医生可同时打开多份病例以标签的形式横向排列，简单切换标签，即可对多份病例进行快捷同步操作，灵活工作方式，提高工作效率。</w:t>
            </w:r>
          </w:p>
          <w:p w14:paraId="72A7F318">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对于同一患者当次检查的多份病理报告，例如：多次冰冻报告、多次补充报告等，系统支持以纵向标签页的形式排列显示，编写当前报告的同时，可快捷切换标签页参考其它报告结果。</w:t>
            </w:r>
          </w:p>
          <w:p w14:paraId="2E0B5DA4">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支持图文混排报告，提供报告版式自定义功能，允许报告中最多4（n）幅图，允许报告标题、字体、布局等的定制，允许图像大小和布局的调整，支持报告的打印输出。</w:t>
            </w:r>
          </w:p>
          <w:p w14:paraId="079B0B25">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支持典型病例收藏夹功能。</w:t>
            </w:r>
          </w:p>
          <w:p w14:paraId="665103C5">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提供三级审核复片工作模式并可记录每级医生对当前报告的修改痕迹，生成诊断记录列表。</w:t>
            </w:r>
          </w:p>
          <w:p w14:paraId="472CBB20">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支持编写、发送、打印补充报告和延迟报告的功能。</w:t>
            </w:r>
          </w:p>
          <w:p w14:paraId="579A5D66">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支持一键将特检结果快速导出到报告中，减少报告医生的录入工作。</w:t>
            </w:r>
          </w:p>
          <w:p w14:paraId="5998001E">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支持对冰冻符合、临床符合、一线符合、取材块评价、成品玻片评级、报告评级和报告备注说明等质控信息的录入及结果输出打印。</w:t>
            </w:r>
          </w:p>
          <w:p w14:paraId="356FFA5F">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支持对报告发放时间与发放状态的管理，可针对不同标本类型及检查项目来提供报告应发时间的预警功能。</w:t>
            </w:r>
          </w:p>
          <w:p w14:paraId="5C8CCDAD">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具有系统内置的即时通讯模块，所有登录医生可见线进行文字、语音沟通与备注，方便科室内医生间的交流。</w:t>
            </w:r>
          </w:p>
          <w:p w14:paraId="0DFB46AE">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支持异色显示冰冻报告的不同时间状态，登记时(30分时限)显示为蓝色字体,即将超时时(已过25分钟)显示黄色字体,已超时显示红色字体。</w:t>
            </w:r>
          </w:p>
          <w:p w14:paraId="0D1183F0">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支持实习医生编译模式：实习医生提取报告后编辑完回退到原报告来源医生功能（不需要选择，点退回自动退到提取的医生账号）。</w:t>
            </w:r>
          </w:p>
          <w:p w14:paraId="2A9740AA">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支持报告作废标注功能：可对作废的病例进行特殊标注，标注了作废标记的病历，依旧算该医生的报告数量，下次检查同一个患者报告依旧优先分配；同时标记了作废标记的病历，不对该报告做超期计算。</w:t>
            </w:r>
          </w:p>
          <w:p w14:paraId="29607C64">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支持病例抽查功能，对抽查的病例可以进行抽查标记。</w:t>
            </w:r>
          </w:p>
          <w:p w14:paraId="19EEC2C5">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支持嵌入式的结构化报告模板，与软件一体化集成，而非word模板调用。</w:t>
            </w:r>
          </w:p>
          <w:p w14:paraId="3A61AECE">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支持快捷的科内病例传阅会诊功能：可选择科内传阅会诊的医生，会诊意见可现实在传阅界面。</w:t>
            </w:r>
          </w:p>
          <w:p w14:paraId="6815E237">
            <w:pPr>
              <w:pageBreakBefore w:val="0"/>
              <w:numPr>
                <w:ilvl w:val="0"/>
                <w:numId w:val="11"/>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支持数字切片扫描仪接入。</w:t>
            </w:r>
          </w:p>
          <w:p w14:paraId="4D3A28BB">
            <w:pPr>
              <w:pStyle w:val="6"/>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10、主任工作站模块</w:t>
            </w:r>
          </w:p>
          <w:p w14:paraId="24642E03">
            <w:pPr>
              <w:pageBreakBefore w:val="0"/>
              <w:numPr>
                <w:ilvl w:val="0"/>
                <w:numId w:val="12"/>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流程定义和查询：系统可根据不同的检查项目（如常规检查、冰冻检查、细胞学检查、尸检、技术医嘱、特检医嘱、会诊等）的特点和规则对其工作流程进行自定义。灵活适应不同规模、不同人员数量下信息平台的合理运行与管理，针对包埋分配、玻片移交确认等细节流程进行精确定制。</w:t>
            </w:r>
          </w:p>
          <w:p w14:paraId="719C586E">
            <w:pPr>
              <w:pageBreakBefore w:val="0"/>
              <w:numPr>
                <w:ilvl w:val="0"/>
                <w:numId w:val="12"/>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用户权限管理：病理检查本身存在多环节配合，为了更好的信息管理，提高整个检查过程中信息的安全性、透明性。系统根据流程环节可对病理检查各环节进行操作人员权限设定，明确相关责任。为病理信息管理提供了全面的安全保证。</w:t>
            </w:r>
          </w:p>
          <w:p w14:paraId="1850DB79">
            <w:pPr>
              <w:pageBreakBefore w:val="0"/>
              <w:numPr>
                <w:ilvl w:val="0"/>
                <w:numId w:val="12"/>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支持可视化的工作日管理功能界面，保障报告发放时间的准确性。</w:t>
            </w:r>
          </w:p>
          <w:p w14:paraId="4404D29A">
            <w:pPr>
              <w:pStyle w:val="6"/>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11、病理归档管理模块</w:t>
            </w:r>
          </w:p>
          <w:p w14:paraId="37CB8E66">
            <w:pPr>
              <w:pageBreakBefore w:val="0"/>
              <w:numPr>
                <w:ilvl w:val="0"/>
                <w:numId w:val="13"/>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标本归档管理功能：对标本的归档提供登记，对未归档的标本进行提示。</w:t>
            </w:r>
          </w:p>
          <w:p w14:paraId="700ECFBE">
            <w:pPr>
              <w:pageBreakBefore w:val="0"/>
              <w:numPr>
                <w:ilvl w:val="0"/>
                <w:numId w:val="13"/>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提供玻片、蜡块、底单的归档登记，通过玻片（标本）条码扫描，将对应的标本状态置为已归档。</w:t>
            </w:r>
          </w:p>
          <w:p w14:paraId="720B6DA5">
            <w:pPr>
              <w:pageBreakBefore w:val="0"/>
              <w:numPr>
                <w:ilvl w:val="0"/>
                <w:numId w:val="13"/>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能够根据设定的归档时间限制，自动提示未归档标本。</w:t>
            </w:r>
          </w:p>
          <w:p w14:paraId="7AF33B53">
            <w:pPr>
              <w:pageBreakBefore w:val="0"/>
              <w:numPr>
                <w:ilvl w:val="0"/>
                <w:numId w:val="13"/>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标本借阅管理功能：对标本的借出和归还进行登记。</w:t>
            </w:r>
          </w:p>
          <w:p w14:paraId="6CC6DFAE">
            <w:pPr>
              <w:pageBreakBefore w:val="0"/>
              <w:numPr>
                <w:ilvl w:val="0"/>
                <w:numId w:val="13"/>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对还片时丢失和损坏的情况及处理方式进行记录。</w:t>
            </w:r>
          </w:p>
          <w:p w14:paraId="23773563">
            <w:pPr>
              <w:pageBreakBefore w:val="0"/>
              <w:numPr>
                <w:ilvl w:val="0"/>
                <w:numId w:val="13"/>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支持玻片的批量归档与归还。</w:t>
            </w:r>
          </w:p>
          <w:p w14:paraId="6E29BC91">
            <w:pPr>
              <w:pageBreakBefore w:val="0"/>
              <w:numPr>
                <w:ilvl w:val="0"/>
                <w:numId w:val="13"/>
              </w:numPr>
              <w:kinsoku/>
              <w:wordWrap/>
              <w:overflowPunct/>
              <w:topLinePunct w:val="0"/>
              <w:autoSpaceDE/>
              <w:autoSpaceDN/>
              <w:bidi w:val="0"/>
              <w:spacing w:line="240" w:lineRule="auto"/>
              <w:ind w:left="420" w:hanging="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支持在不同阶段查看检查进展，可生成每个环节的处理时间信息时间轴。</w:t>
            </w:r>
          </w:p>
          <w:p w14:paraId="2269974C">
            <w:pPr>
              <w:pStyle w:val="6"/>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12、病理质控管理模块</w:t>
            </w:r>
          </w:p>
          <w:p w14:paraId="05FF445E">
            <w:pPr>
              <w:pageBreakBefore w:val="0"/>
              <w:numPr>
                <w:ilvl w:val="0"/>
                <w:numId w:val="14"/>
              </w:numPr>
              <w:kinsoku/>
              <w:wordWrap/>
              <w:overflowPunct/>
              <w:topLinePunct w:val="0"/>
              <w:autoSpaceDE/>
              <w:autoSpaceDN/>
              <w:bidi w:val="0"/>
              <w:spacing w:line="240" w:lineRule="auto"/>
              <w:ind w:left="420" w:leftChars="0" w:hanging="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工作量统计：切片技师工作量、取材医生工作量统计、初诊医生工作量、审核医生工作量、病理科科室工作量、送检科室送检量、会诊单位会诊量、技术医嘱数量统计、特检医嘱数量统计、免疫荧光送检医生统计科室工作量统计等。</w:t>
            </w:r>
          </w:p>
          <w:p w14:paraId="7C738DDA">
            <w:pPr>
              <w:pageBreakBefore w:val="0"/>
              <w:numPr>
                <w:ilvl w:val="0"/>
                <w:numId w:val="14"/>
              </w:numPr>
              <w:kinsoku/>
              <w:wordWrap/>
              <w:overflowPunct/>
              <w:topLinePunct w:val="0"/>
              <w:autoSpaceDE/>
              <w:autoSpaceDN/>
              <w:bidi w:val="0"/>
              <w:spacing w:line="240" w:lineRule="auto"/>
              <w:ind w:left="420" w:leftChars="0" w:hanging="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及时率质控：术中冰冻诊断及时率、组织病理诊断及时率、细胞学诊断及时率等。</w:t>
            </w:r>
          </w:p>
          <w:p w14:paraId="7AD367E5">
            <w:pPr>
              <w:pageBreakBefore w:val="0"/>
              <w:numPr>
                <w:ilvl w:val="0"/>
                <w:numId w:val="14"/>
              </w:numPr>
              <w:kinsoku/>
              <w:wordWrap/>
              <w:overflowPunct/>
              <w:topLinePunct w:val="0"/>
              <w:autoSpaceDE/>
              <w:autoSpaceDN/>
              <w:bidi w:val="0"/>
              <w:spacing w:line="240" w:lineRule="auto"/>
              <w:ind w:left="420" w:leftChars="0" w:hanging="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符合率质控：冰冻诊断符合率、临床诊断符合率、一线诊断符合率、初审终审符合率、外院会诊符合率等。</w:t>
            </w:r>
          </w:p>
          <w:p w14:paraId="43809288">
            <w:pPr>
              <w:pageBreakBefore w:val="0"/>
              <w:numPr>
                <w:ilvl w:val="0"/>
                <w:numId w:val="14"/>
              </w:numPr>
              <w:kinsoku/>
              <w:wordWrap/>
              <w:overflowPunct/>
              <w:topLinePunct w:val="0"/>
              <w:autoSpaceDE/>
              <w:autoSpaceDN/>
              <w:bidi w:val="0"/>
              <w:spacing w:line="240" w:lineRule="auto"/>
              <w:ind w:left="420" w:leftChars="0" w:hanging="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工作流程质控：HE染色切片优良率、免疫组化切片优良率、细胞学染色切片优良率、标本规范化固定率、不合格标本统计、不合格申请单统计等。</w:t>
            </w:r>
          </w:p>
          <w:p w14:paraId="49A739D4">
            <w:pPr>
              <w:pageBreakBefore w:val="0"/>
              <w:numPr>
                <w:ilvl w:val="0"/>
                <w:numId w:val="14"/>
              </w:numPr>
              <w:kinsoku/>
              <w:wordWrap/>
              <w:overflowPunct/>
              <w:topLinePunct w:val="0"/>
              <w:autoSpaceDE/>
              <w:autoSpaceDN/>
              <w:bidi w:val="0"/>
              <w:spacing w:line="240" w:lineRule="auto"/>
              <w:ind w:left="420" w:leftChars="0" w:hanging="420" w:firstLineChars="0"/>
              <w:textAlignment w:val="auto"/>
              <w:rPr>
                <w:rFonts w:hint="eastAsia" w:ascii="宋体" w:hAnsi="宋体" w:eastAsia="宋体" w:cs="宋体"/>
                <w:b w:val="0"/>
                <w:bCs/>
                <w:sz w:val="21"/>
                <w:szCs w:val="21"/>
              </w:rPr>
            </w:pPr>
            <w:r>
              <w:rPr>
                <w:rFonts w:hint="eastAsia" w:ascii="宋体" w:hAnsi="宋体" w:eastAsia="宋体" w:cs="宋体"/>
                <w:b w:val="0"/>
                <w:bCs/>
                <w:color w:val="000000"/>
                <w:kern w:val="0"/>
                <w:sz w:val="21"/>
                <w:szCs w:val="21"/>
                <w:lang w:bidi="ar"/>
              </w:rPr>
              <w:t>支持病理专业医疗质量控制指标（2015年版）及升级版的指标统计。</w:t>
            </w:r>
          </w:p>
          <w:p w14:paraId="37CEBF04">
            <w:pPr>
              <w:pageBreakBefore w:val="0"/>
              <w:numPr>
                <w:ilvl w:val="0"/>
                <w:numId w:val="14"/>
              </w:numPr>
              <w:kinsoku/>
              <w:wordWrap/>
              <w:overflowPunct/>
              <w:topLinePunct w:val="0"/>
              <w:autoSpaceDE/>
              <w:autoSpaceDN/>
              <w:bidi w:val="0"/>
              <w:spacing w:line="240" w:lineRule="auto"/>
              <w:ind w:left="420" w:leftChars="0" w:hanging="420" w:firstLineChars="0"/>
              <w:textAlignment w:val="auto"/>
              <w:rPr>
                <w:rFonts w:hint="eastAsia" w:ascii="宋体" w:hAnsi="宋体" w:eastAsia="宋体" w:cs="宋体"/>
                <w:b w:val="0"/>
                <w:bCs/>
                <w:sz w:val="21"/>
                <w:szCs w:val="21"/>
              </w:rPr>
            </w:pPr>
            <w:r>
              <w:rPr>
                <w:rFonts w:hint="eastAsia" w:ascii="宋体" w:hAnsi="宋体" w:eastAsia="宋体" w:cs="宋体"/>
                <w:b w:val="0"/>
                <w:bCs/>
                <w:color w:val="000000"/>
                <w:kern w:val="0"/>
                <w:sz w:val="21"/>
                <w:szCs w:val="21"/>
                <w:lang w:bidi="ar"/>
              </w:rPr>
              <w:t>支持三级医院病理相关指标统计。</w:t>
            </w:r>
          </w:p>
          <w:p w14:paraId="37FC76B6">
            <w:pPr>
              <w:pageBreakBefore w:val="0"/>
              <w:numPr>
                <w:ilvl w:val="0"/>
                <w:numId w:val="14"/>
              </w:numPr>
              <w:kinsoku/>
              <w:wordWrap/>
              <w:overflowPunct/>
              <w:topLinePunct w:val="0"/>
              <w:autoSpaceDE/>
              <w:autoSpaceDN/>
              <w:bidi w:val="0"/>
              <w:spacing w:line="240" w:lineRule="auto"/>
              <w:ind w:left="420" w:leftChars="0" w:hanging="420" w:firstLineChars="0"/>
              <w:textAlignment w:val="auto"/>
              <w:rPr>
                <w:rFonts w:hint="eastAsia" w:ascii="宋体" w:hAnsi="宋体" w:eastAsia="宋体" w:cs="宋体"/>
                <w:b w:val="0"/>
                <w:bCs/>
                <w:sz w:val="21"/>
                <w:szCs w:val="21"/>
              </w:rPr>
            </w:pPr>
            <w:r>
              <w:rPr>
                <w:rFonts w:hint="eastAsia" w:ascii="宋体" w:hAnsi="宋体" w:eastAsia="宋体" w:cs="宋体"/>
                <w:b w:val="0"/>
                <w:bCs/>
                <w:color w:val="000000"/>
                <w:kern w:val="0"/>
                <w:sz w:val="21"/>
                <w:szCs w:val="21"/>
                <w:lang w:bidi="ar"/>
              </w:rPr>
              <w:t>支持肿瘤专业质量控制指标（2023年版）统计。</w:t>
            </w:r>
          </w:p>
          <w:p w14:paraId="20AB41F8">
            <w:pPr>
              <w:pageBreakBefore w:val="0"/>
              <w:numPr>
                <w:ilvl w:val="0"/>
                <w:numId w:val="14"/>
              </w:numPr>
              <w:kinsoku/>
              <w:wordWrap/>
              <w:overflowPunct/>
              <w:topLinePunct w:val="0"/>
              <w:autoSpaceDE/>
              <w:autoSpaceDN/>
              <w:bidi w:val="0"/>
              <w:spacing w:line="240" w:lineRule="auto"/>
              <w:ind w:left="420" w:leftChars="0" w:hanging="420" w:firstLineChars="0"/>
              <w:textAlignment w:val="auto"/>
              <w:rPr>
                <w:rFonts w:hint="eastAsia" w:ascii="宋体" w:hAnsi="宋体" w:eastAsia="宋体" w:cs="宋体"/>
                <w:b w:val="0"/>
                <w:bCs/>
                <w:sz w:val="21"/>
                <w:szCs w:val="21"/>
              </w:rPr>
            </w:pPr>
            <w:r>
              <w:rPr>
                <w:rFonts w:hint="eastAsia" w:ascii="宋体" w:hAnsi="宋体" w:eastAsia="宋体" w:cs="宋体"/>
                <w:b w:val="0"/>
                <w:bCs/>
                <w:color w:val="000000"/>
                <w:kern w:val="0"/>
                <w:sz w:val="21"/>
                <w:szCs w:val="21"/>
                <w:lang w:bidi="ar"/>
              </w:rPr>
              <w:t>支持三级公立医院绩效考核肿瘤专业医疗质量控制指标统计。</w:t>
            </w:r>
          </w:p>
          <w:p w14:paraId="59A0EF9B">
            <w:pPr>
              <w:pStyle w:val="6"/>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13、配套硬件</w:t>
            </w:r>
          </w:p>
          <w:p w14:paraId="33F86CEB">
            <w:pPr>
              <w:pageBreakBefore w:val="0"/>
              <w:numPr>
                <w:ilvl w:val="0"/>
                <w:numId w:val="15"/>
              </w:numPr>
              <w:kinsoku/>
              <w:wordWrap/>
              <w:overflowPunct/>
              <w:topLinePunct w:val="0"/>
              <w:autoSpaceDE/>
              <w:autoSpaceDN/>
              <w:bidi w:val="0"/>
              <w:spacing w:line="240" w:lineRule="auto"/>
              <w:ind w:left="425" w:leftChars="0" w:hanging="425" w:firstLineChars="0"/>
              <w:textAlignment w:val="auto"/>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工作站（4台）：CPU≥Intel4核心、内存≥8G、硬盘≥256G SSD+1T、显示屏≥23</w:t>
            </w:r>
            <w:r>
              <w:rPr>
                <w:rFonts w:hint="eastAsia" w:ascii="宋体" w:hAnsi="宋体" w:cs="宋体"/>
                <w:b w:val="0"/>
                <w:bCs/>
                <w:color w:val="000000"/>
                <w:kern w:val="0"/>
                <w:sz w:val="21"/>
                <w:szCs w:val="21"/>
                <w:lang w:val="en-US" w:eastAsia="zh-CN" w:bidi="ar"/>
              </w:rPr>
              <w:t>寸</w:t>
            </w:r>
          </w:p>
          <w:p w14:paraId="0363EF26">
            <w:pPr>
              <w:pageBreakBefore w:val="0"/>
              <w:numPr>
                <w:ilvl w:val="0"/>
                <w:numId w:val="15"/>
              </w:numPr>
              <w:kinsoku/>
              <w:wordWrap/>
              <w:overflowPunct/>
              <w:topLinePunct w:val="0"/>
              <w:autoSpaceDE/>
              <w:autoSpaceDN/>
              <w:bidi w:val="0"/>
              <w:spacing w:line="240" w:lineRule="auto"/>
              <w:ind w:left="425" w:leftChars="0" w:hanging="425" w:firstLineChars="0"/>
              <w:textAlignment w:val="auto"/>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扫描枪（</w:t>
            </w:r>
            <w:r>
              <w:rPr>
                <w:rFonts w:hint="eastAsia" w:ascii="宋体" w:hAnsi="宋体" w:eastAsia="宋体" w:cs="宋体"/>
                <w:b w:val="0"/>
                <w:bCs/>
                <w:color w:val="000000"/>
                <w:kern w:val="0"/>
                <w:sz w:val="21"/>
                <w:szCs w:val="21"/>
                <w:lang w:val="en-US" w:eastAsia="zh-CN" w:bidi="ar"/>
              </w:rPr>
              <w:t>3台</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扫描仪：便携式 / 接口：USB / 尺寸：43 x 180 x 66 mm/ 特性：一、二维影像扫描</w:t>
            </w:r>
          </w:p>
          <w:p w14:paraId="7223FB95">
            <w:pPr>
              <w:pageBreakBefore w:val="0"/>
              <w:numPr>
                <w:ilvl w:val="0"/>
                <w:numId w:val="15"/>
              </w:numPr>
              <w:kinsoku/>
              <w:wordWrap/>
              <w:overflowPunct/>
              <w:topLinePunct w:val="0"/>
              <w:autoSpaceDE/>
              <w:autoSpaceDN/>
              <w:bidi w:val="0"/>
              <w:spacing w:line="240" w:lineRule="auto"/>
              <w:ind w:left="425" w:leftChars="0" w:hanging="425" w:firstLineChars="0"/>
              <w:textAlignment w:val="auto"/>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标签打印设备（</w:t>
            </w:r>
            <w:r>
              <w:rPr>
                <w:rFonts w:hint="eastAsia" w:ascii="宋体" w:hAnsi="宋体" w:eastAsia="宋体" w:cs="宋体"/>
                <w:b w:val="0"/>
                <w:bCs/>
                <w:color w:val="000000"/>
                <w:kern w:val="0"/>
                <w:sz w:val="21"/>
                <w:szCs w:val="21"/>
                <w:lang w:val="en-US" w:eastAsia="zh-CN" w:bidi="ar"/>
              </w:rPr>
              <w:t>3台</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条码打印设备：热敏/热转印 / 条码打印设备分辨率：203dpi / 打印速度：102mm/s / 打印宽度：104mm / 最大打印长度：991mm / 标签宽度：25.4-108</w:t>
            </w:r>
          </w:p>
          <w:p w14:paraId="0FC2A562">
            <w:pPr>
              <w:pageBreakBefore w:val="0"/>
              <w:numPr>
                <w:ilvl w:val="0"/>
                <w:numId w:val="15"/>
              </w:numPr>
              <w:kinsoku/>
              <w:wordWrap/>
              <w:overflowPunct/>
              <w:topLinePunct w:val="0"/>
              <w:autoSpaceDE/>
              <w:autoSpaceDN/>
              <w:bidi w:val="0"/>
              <w:spacing w:line="240" w:lineRule="auto"/>
              <w:ind w:left="425" w:leftChars="0" w:hanging="425" w:firstLineChars="0"/>
              <w:textAlignment w:val="auto"/>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自助</w:t>
            </w:r>
            <w:r>
              <w:rPr>
                <w:rFonts w:hint="eastAsia" w:ascii="宋体" w:hAnsi="宋体" w:cs="宋体"/>
                <w:b w:val="0"/>
                <w:bCs/>
                <w:color w:val="000000"/>
                <w:kern w:val="0"/>
                <w:sz w:val="21"/>
                <w:szCs w:val="21"/>
                <w:lang w:val="en-US" w:eastAsia="zh-CN" w:bidi="ar"/>
              </w:rPr>
              <w:t>报告打印</w:t>
            </w:r>
            <w:r>
              <w:rPr>
                <w:rFonts w:hint="eastAsia" w:ascii="宋体" w:hAnsi="宋体" w:eastAsia="宋体" w:cs="宋体"/>
                <w:b w:val="0"/>
                <w:bCs/>
                <w:color w:val="000000"/>
                <w:kern w:val="0"/>
                <w:sz w:val="21"/>
                <w:szCs w:val="21"/>
                <w:lang w:eastAsia="zh-CN" w:bidi="ar"/>
              </w:rPr>
              <w:t>设备（</w:t>
            </w:r>
            <w:r>
              <w:rPr>
                <w:rFonts w:hint="eastAsia" w:ascii="宋体" w:hAnsi="宋体" w:eastAsia="宋体" w:cs="宋体"/>
                <w:b w:val="0"/>
                <w:bCs/>
                <w:color w:val="000000"/>
                <w:kern w:val="0"/>
                <w:sz w:val="21"/>
                <w:szCs w:val="21"/>
                <w:lang w:val="en-US" w:eastAsia="zh-CN" w:bidi="ar"/>
              </w:rPr>
              <w:t>1台</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21.5寸触控显示屏\WIN 10\彩色激光打印\扩容纸仓\扫描模块\CPU≥Intel4核心、内存≥8G、硬盘≥128G SSD</w:t>
            </w:r>
          </w:p>
          <w:p w14:paraId="007A041F">
            <w:pPr>
              <w:pageBreakBefore w:val="0"/>
              <w:numPr>
                <w:ilvl w:val="0"/>
                <w:numId w:val="15"/>
              </w:numPr>
              <w:kinsoku/>
              <w:wordWrap/>
              <w:overflowPunct/>
              <w:topLinePunct w:val="0"/>
              <w:autoSpaceDE/>
              <w:autoSpaceDN/>
              <w:bidi w:val="0"/>
              <w:spacing w:line="240" w:lineRule="auto"/>
              <w:ind w:left="425" w:leftChars="0" w:hanging="425" w:firstLineChars="0"/>
              <w:textAlignment w:val="auto"/>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打印设备（</w:t>
            </w:r>
            <w:r>
              <w:rPr>
                <w:rFonts w:hint="eastAsia" w:ascii="宋体" w:hAnsi="宋体" w:eastAsia="宋体" w:cs="宋体"/>
                <w:b w:val="0"/>
                <w:bCs/>
                <w:color w:val="000000"/>
                <w:kern w:val="0"/>
                <w:sz w:val="21"/>
                <w:szCs w:val="21"/>
                <w:lang w:val="en-US" w:eastAsia="zh-CN" w:bidi="ar"/>
              </w:rPr>
              <w:t>1台</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黑白激光打印设备</w:t>
            </w:r>
          </w:p>
          <w:p w14:paraId="3C0D045D">
            <w:pPr>
              <w:pageBreakBefore w:val="0"/>
              <w:numPr>
                <w:ilvl w:val="0"/>
                <w:numId w:val="15"/>
              </w:numPr>
              <w:kinsoku/>
              <w:wordWrap/>
              <w:overflowPunct/>
              <w:topLinePunct w:val="0"/>
              <w:autoSpaceDE/>
              <w:autoSpaceDN/>
              <w:bidi w:val="0"/>
              <w:spacing w:line="240" w:lineRule="auto"/>
              <w:ind w:left="425" w:leftChars="0" w:hanging="425" w:firstLineChars="0"/>
              <w:jc w:val="both"/>
              <w:textAlignment w:val="auto"/>
              <w:rPr>
                <w:rFonts w:hint="default"/>
                <w:vertAlign w:val="baseline"/>
                <w:lang w:val="en-US" w:eastAsia="zh-CN"/>
              </w:rPr>
            </w:pPr>
            <w:r>
              <w:rPr>
                <w:rFonts w:hint="eastAsia" w:ascii="宋体" w:hAnsi="宋体" w:eastAsia="宋体" w:cs="宋体"/>
                <w:b w:val="0"/>
                <w:bCs/>
                <w:color w:val="000000"/>
                <w:kern w:val="0"/>
                <w:sz w:val="21"/>
                <w:szCs w:val="21"/>
                <w:lang w:eastAsia="zh-CN" w:bidi="ar"/>
              </w:rPr>
              <w:t>教学大屏（</w:t>
            </w:r>
            <w:r>
              <w:rPr>
                <w:rFonts w:hint="eastAsia" w:ascii="宋体" w:hAnsi="宋体" w:eastAsia="宋体" w:cs="宋体"/>
                <w:b w:val="0"/>
                <w:bCs/>
                <w:color w:val="000000"/>
                <w:kern w:val="0"/>
                <w:sz w:val="21"/>
                <w:szCs w:val="21"/>
                <w:lang w:val="en-US" w:eastAsia="zh-CN" w:bidi="ar"/>
              </w:rPr>
              <w:t>1台</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≥60寸液晶显示屏</w:t>
            </w:r>
          </w:p>
        </w:tc>
        <w:tc>
          <w:tcPr>
            <w:tcW w:w="1013" w:type="dxa"/>
            <w:noWrap w:val="0"/>
            <w:vAlign w:val="top"/>
          </w:tcPr>
          <w:p w14:paraId="1988B3B6">
            <w:pPr>
              <w:rPr>
                <w:rFonts w:hint="default"/>
                <w:vertAlign w:val="baseline"/>
                <w:lang w:val="en-US" w:eastAsia="zh-CN"/>
              </w:rPr>
            </w:pPr>
            <w:r>
              <w:rPr>
                <w:rFonts w:hint="eastAsia"/>
                <w:vertAlign w:val="baseline"/>
                <w:lang w:val="en-US" w:eastAsia="zh-CN"/>
              </w:rPr>
              <w:t>1</w:t>
            </w:r>
          </w:p>
        </w:tc>
        <w:tc>
          <w:tcPr>
            <w:tcW w:w="1013" w:type="dxa"/>
            <w:noWrap w:val="0"/>
            <w:vAlign w:val="top"/>
          </w:tcPr>
          <w:p w14:paraId="644CE73F">
            <w:pPr>
              <w:rPr>
                <w:rFonts w:hint="default"/>
                <w:vertAlign w:val="baseline"/>
                <w:lang w:val="en-US" w:eastAsia="zh-CN"/>
              </w:rPr>
            </w:pPr>
            <w:r>
              <w:rPr>
                <w:rFonts w:hint="eastAsia"/>
                <w:vertAlign w:val="baseline"/>
                <w:lang w:val="en-US" w:eastAsia="zh-CN"/>
              </w:rPr>
              <w:t>套</w:t>
            </w:r>
          </w:p>
        </w:tc>
      </w:tr>
    </w:tbl>
    <w:p w14:paraId="3D816950">
      <w:pPr>
        <w:pStyle w:val="7"/>
        <w:numPr>
          <w:ilvl w:val="0"/>
          <w:numId w:val="0"/>
        </w:numPr>
        <w:rPr>
          <w:rFonts w:hint="eastAsia"/>
        </w:rPr>
      </w:pPr>
      <w:bookmarkStart w:id="3" w:name="_GoBack"/>
      <w:bookmarkEnd w:id="3"/>
    </w:p>
    <w:p w14:paraId="51836B19">
      <w:pPr>
        <w:spacing w:line="560" w:lineRule="exact"/>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二、</w:t>
      </w:r>
      <w:r>
        <w:rPr>
          <w:rFonts w:hint="eastAsia" w:ascii="黑体" w:hAnsi="黑体" w:eastAsia="黑体" w:cs="黑体"/>
          <w:bCs/>
          <w:color w:val="000000"/>
          <w:kern w:val="0"/>
          <w:sz w:val="32"/>
          <w:szCs w:val="32"/>
          <w:lang w:val="en-US" w:eastAsia="zh-CN"/>
        </w:rPr>
        <w:t>商务</w:t>
      </w:r>
      <w:r>
        <w:rPr>
          <w:rFonts w:hint="eastAsia" w:ascii="黑体" w:hAnsi="黑体" w:eastAsia="黑体" w:cs="黑体"/>
          <w:bCs/>
          <w:color w:val="000000"/>
          <w:kern w:val="0"/>
          <w:sz w:val="32"/>
          <w:szCs w:val="32"/>
        </w:rPr>
        <w:t>要求</w:t>
      </w:r>
    </w:p>
    <w:p w14:paraId="7B97B2EF">
      <w:pPr>
        <w:keepNext w:val="0"/>
        <w:keepLines w:val="0"/>
        <w:widowControl/>
        <w:suppressLineNumbers w:val="0"/>
        <w:ind w:firstLine="440" w:firstLineChars="200"/>
        <w:jc w:val="left"/>
        <w:textAlignment w:val="top"/>
        <w:rPr>
          <w:rFonts w:hint="eastAsia" w:ascii="Calibri" w:hAnsi="Calibri"/>
          <w:b/>
          <w:bCs/>
          <w:sz w:val="32"/>
          <w:szCs w:val="32"/>
        </w:rPr>
      </w:pPr>
      <w:r>
        <w:rPr>
          <w:rFonts w:hint="eastAsia" w:ascii="等线" w:hAnsi="等线" w:eastAsia="等线" w:cs="等线"/>
          <w:i w:val="0"/>
          <w:iCs w:val="0"/>
          <w:color w:val="000000"/>
          <w:kern w:val="0"/>
          <w:sz w:val="22"/>
          <w:szCs w:val="22"/>
          <w:u w:val="none"/>
          <w:lang w:val="en-US" w:eastAsia="zh-CN" w:bidi="ar"/>
        </w:rPr>
        <w:t>1.完成时间为3个月内</w:t>
      </w:r>
      <w:bookmarkEnd w:id="1"/>
      <w:bookmarkEnd w:id="2"/>
    </w:p>
    <w:p w14:paraId="2D3CDA3D">
      <w:pPr>
        <w:spacing w:line="360" w:lineRule="auto"/>
        <w:outlineLvl w:val="0"/>
        <w:rPr>
          <w:rFonts w:hint="eastAsia" w:eastAsia="宋体"/>
          <w:b/>
          <w:bCs/>
          <w:lang w:val="en-US" w:eastAsia="zh-CN"/>
        </w:rPr>
      </w:pPr>
      <w:r>
        <w:rPr>
          <w:rFonts w:hint="eastAsia" w:ascii="Calibri" w:hAnsi="Calibri"/>
          <w:b/>
          <w:bCs/>
          <w:sz w:val="32"/>
          <w:szCs w:val="32"/>
        </w:rPr>
        <w:t>附件2：报价</w:t>
      </w:r>
      <w:r>
        <w:rPr>
          <w:rFonts w:hint="eastAsia" w:ascii="Calibri" w:hAnsi="Calibri"/>
          <w:b/>
          <w:bCs/>
          <w:sz w:val="32"/>
          <w:szCs w:val="32"/>
          <w:lang w:val="en-US" w:eastAsia="zh-CN"/>
        </w:rPr>
        <w:t>格式</w:t>
      </w:r>
    </w:p>
    <w:tbl>
      <w:tblPr>
        <w:tblStyle w:val="8"/>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4"/>
        <w:gridCol w:w="785"/>
        <w:gridCol w:w="775"/>
        <w:gridCol w:w="1745"/>
        <w:gridCol w:w="1745"/>
      </w:tblGrid>
      <w:tr w14:paraId="2DF1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674" w:type="dxa"/>
            <w:noWrap w:val="0"/>
            <w:vAlign w:val="center"/>
          </w:tcPr>
          <w:p w14:paraId="71439DD2">
            <w:pPr>
              <w:pStyle w:val="2"/>
              <w:jc w:val="center"/>
              <w:rPr>
                <w:rFonts w:hint="default" w:ascii="宋体"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项目名称</w:t>
            </w:r>
          </w:p>
        </w:tc>
        <w:tc>
          <w:tcPr>
            <w:tcW w:w="785" w:type="dxa"/>
            <w:noWrap w:val="0"/>
            <w:vAlign w:val="center"/>
          </w:tcPr>
          <w:p w14:paraId="22777697">
            <w:pPr>
              <w:pStyle w:val="2"/>
              <w:jc w:val="center"/>
              <w:rPr>
                <w:rFonts w:hint="eastAsia" w:ascii="宋体"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单位</w:t>
            </w:r>
          </w:p>
        </w:tc>
        <w:tc>
          <w:tcPr>
            <w:tcW w:w="775" w:type="dxa"/>
            <w:noWrap w:val="0"/>
            <w:vAlign w:val="center"/>
          </w:tcPr>
          <w:p w14:paraId="6A949A78">
            <w:pPr>
              <w:pStyle w:val="2"/>
              <w:jc w:val="center"/>
              <w:rPr>
                <w:rFonts w:hint="default" w:ascii="宋体"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数量</w:t>
            </w:r>
          </w:p>
        </w:tc>
        <w:tc>
          <w:tcPr>
            <w:tcW w:w="1745" w:type="dxa"/>
            <w:noWrap w:val="0"/>
            <w:vAlign w:val="center"/>
          </w:tcPr>
          <w:p w14:paraId="57935529">
            <w:pPr>
              <w:pStyle w:val="2"/>
              <w:jc w:val="center"/>
              <w:rPr>
                <w:rFonts w:hint="eastAsia" w:ascii="宋体"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合计（元）</w:t>
            </w:r>
          </w:p>
        </w:tc>
        <w:tc>
          <w:tcPr>
            <w:tcW w:w="1745" w:type="dxa"/>
            <w:noWrap w:val="0"/>
            <w:vAlign w:val="center"/>
          </w:tcPr>
          <w:p w14:paraId="422FC022">
            <w:pPr>
              <w:pStyle w:val="2"/>
              <w:jc w:val="center"/>
              <w:rPr>
                <w:rFonts w:hint="eastAsia"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备注</w:t>
            </w:r>
          </w:p>
        </w:tc>
      </w:tr>
    </w:tbl>
    <w:p w14:paraId="3F3D3435">
      <w:pPr>
        <w:keepNext w:val="0"/>
        <w:keepLines w:val="0"/>
        <w:widowControl/>
        <w:suppressLineNumbers w:val="0"/>
        <w:jc w:val="left"/>
        <w:textAlignment w:val="top"/>
        <w:rPr>
          <w:rFonts w:hint="eastAsia" w:ascii="等线" w:hAnsi="等线" w:eastAsia="等线" w:cs="等线"/>
          <w:i w:val="0"/>
          <w:iCs w:val="0"/>
          <w:color w:val="000000"/>
          <w:kern w:val="0"/>
          <w:sz w:val="22"/>
          <w:szCs w:val="22"/>
          <w:u w:val="none"/>
          <w:lang w:val="en-US" w:eastAsia="zh-CN" w:bidi="ar"/>
        </w:rPr>
      </w:pPr>
    </w:p>
    <w:tbl>
      <w:tblPr>
        <w:tblStyle w:val="8"/>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4"/>
        <w:gridCol w:w="785"/>
        <w:gridCol w:w="775"/>
        <w:gridCol w:w="1745"/>
        <w:gridCol w:w="1745"/>
      </w:tblGrid>
      <w:tr w14:paraId="0BAF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674" w:type="dxa"/>
            <w:noWrap w:val="0"/>
            <w:vAlign w:val="center"/>
          </w:tcPr>
          <w:p w14:paraId="628C353A">
            <w:pPr>
              <w:keepNext w:val="0"/>
              <w:keepLines w:val="0"/>
              <w:widowControl/>
              <w:suppressLineNumbers w:val="0"/>
              <w:jc w:val="left"/>
              <w:textAlignment w:val="top"/>
              <w:rPr>
                <w:rFonts w:hint="eastAsia" w:ascii="宋体" w:hAnsi="宋体" w:eastAsia="宋体" w:cs="宋体"/>
                <w:color w:val="auto"/>
                <w:kern w:val="0"/>
                <w:sz w:val="24"/>
                <w:szCs w:val="24"/>
                <w:shd w:val="clear" w:color="auto" w:fill="FFFFFF"/>
                <w:lang w:val="en-US" w:eastAsia="zh-CN" w:bidi="ar-SA"/>
              </w:rPr>
            </w:pPr>
            <w:r>
              <w:rPr>
                <w:rFonts w:hint="eastAsia" w:ascii="等线" w:hAnsi="等线" w:eastAsia="等线" w:cs="等线"/>
                <w:i w:val="0"/>
                <w:iCs w:val="0"/>
                <w:color w:val="000000"/>
                <w:kern w:val="0"/>
                <w:sz w:val="22"/>
                <w:szCs w:val="22"/>
                <w:u w:val="none"/>
                <w:lang w:val="en-US" w:eastAsia="zh-CN" w:bidi="ar"/>
              </w:rPr>
              <w:t>成都市新津区中医医院</w:t>
            </w:r>
            <w:r>
              <w:rPr>
                <w:rFonts w:hint="eastAsia" w:ascii="宋体" w:hAnsi="宋体" w:eastAsia="宋体" w:cs="仿宋_GB2312"/>
                <w:kern w:val="2"/>
                <w:sz w:val="24"/>
                <w:szCs w:val="24"/>
                <w:lang w:val="en-US" w:eastAsia="zh-CN" w:bidi="ar-SA"/>
              </w:rPr>
              <w:t>病理系统</w:t>
            </w:r>
          </w:p>
        </w:tc>
        <w:tc>
          <w:tcPr>
            <w:tcW w:w="785" w:type="dxa"/>
            <w:noWrap w:val="0"/>
            <w:vAlign w:val="center"/>
          </w:tcPr>
          <w:p w14:paraId="48FFBCD0">
            <w:pPr>
              <w:pStyle w:val="2"/>
              <w:jc w:val="center"/>
              <w:rPr>
                <w:rFonts w:hint="eastAsia" w:ascii="宋体" w:hAnsi="宋体" w:eastAsia="宋体" w:cs="宋体"/>
                <w:color w:val="auto"/>
                <w:kern w:val="0"/>
                <w:sz w:val="24"/>
                <w:szCs w:val="24"/>
                <w:shd w:val="clear" w:color="auto" w:fill="FFFFFF"/>
                <w:lang w:val="en-US" w:eastAsia="zh-CN" w:bidi="ar-SA"/>
              </w:rPr>
            </w:pPr>
            <w:r>
              <w:rPr>
                <w:rFonts w:hint="eastAsia" w:hAnsi="宋体" w:eastAsia="宋体" w:cs="宋体"/>
                <w:color w:val="auto"/>
                <w:kern w:val="0"/>
                <w:sz w:val="24"/>
                <w:szCs w:val="24"/>
                <w:shd w:val="clear" w:color="auto" w:fill="FFFFFF"/>
                <w:lang w:val="en-US" w:eastAsia="zh-CN" w:bidi="ar-SA"/>
              </w:rPr>
              <w:t>项</w:t>
            </w:r>
          </w:p>
        </w:tc>
        <w:tc>
          <w:tcPr>
            <w:tcW w:w="775" w:type="dxa"/>
            <w:noWrap w:val="0"/>
            <w:vAlign w:val="center"/>
          </w:tcPr>
          <w:p w14:paraId="1A8A3156">
            <w:pPr>
              <w:pStyle w:val="2"/>
              <w:jc w:val="center"/>
              <w:rPr>
                <w:rFonts w:hint="default" w:ascii="宋体" w:hAnsi="宋体" w:cs="宋体"/>
                <w:color w:val="auto"/>
                <w:kern w:val="0"/>
                <w:sz w:val="24"/>
                <w:szCs w:val="24"/>
                <w:shd w:val="clear" w:color="auto" w:fill="FFFFFF"/>
                <w:lang w:val="en-US" w:eastAsia="zh-CN" w:bidi="ar-SA"/>
              </w:rPr>
            </w:pPr>
            <w:r>
              <w:rPr>
                <w:rFonts w:hint="eastAsia" w:ascii="宋体" w:hAnsi="宋体" w:cs="宋体"/>
                <w:color w:val="auto"/>
                <w:kern w:val="0"/>
                <w:sz w:val="24"/>
                <w:szCs w:val="24"/>
                <w:shd w:val="clear" w:color="auto" w:fill="FFFFFF"/>
                <w:lang w:val="en-US" w:eastAsia="zh-CN" w:bidi="ar-SA"/>
              </w:rPr>
              <w:t>1</w:t>
            </w:r>
          </w:p>
        </w:tc>
        <w:tc>
          <w:tcPr>
            <w:tcW w:w="1745" w:type="dxa"/>
            <w:noWrap w:val="0"/>
            <w:vAlign w:val="center"/>
          </w:tcPr>
          <w:p w14:paraId="10D1EC32">
            <w:pPr>
              <w:pStyle w:val="2"/>
              <w:jc w:val="center"/>
              <w:rPr>
                <w:rFonts w:hint="eastAsia" w:ascii="宋体" w:hAnsi="宋体" w:cs="宋体"/>
                <w:color w:val="auto"/>
                <w:kern w:val="0"/>
                <w:sz w:val="24"/>
                <w:szCs w:val="24"/>
                <w:shd w:val="clear" w:color="auto" w:fill="FFFFFF"/>
                <w:lang w:val="en-US" w:eastAsia="zh-CN" w:bidi="ar-SA"/>
              </w:rPr>
            </w:pPr>
          </w:p>
        </w:tc>
        <w:tc>
          <w:tcPr>
            <w:tcW w:w="1745" w:type="dxa"/>
            <w:noWrap w:val="0"/>
            <w:vAlign w:val="center"/>
          </w:tcPr>
          <w:p w14:paraId="1171BC52">
            <w:pPr>
              <w:pStyle w:val="2"/>
              <w:jc w:val="both"/>
              <w:rPr>
                <w:rFonts w:hint="default" w:ascii="宋体" w:hAnsi="宋体" w:cs="宋体"/>
                <w:color w:val="auto"/>
                <w:kern w:val="0"/>
                <w:sz w:val="24"/>
                <w:szCs w:val="24"/>
                <w:shd w:val="clear" w:color="auto" w:fill="FFFFFF"/>
                <w:lang w:val="en-US" w:eastAsia="zh-CN" w:bidi="ar-SA"/>
              </w:rPr>
            </w:pPr>
          </w:p>
        </w:tc>
      </w:tr>
    </w:tbl>
    <w:p w14:paraId="344C1411">
      <w:pPr>
        <w:spacing w:line="360" w:lineRule="auto"/>
        <w:outlineLvl w:val="1"/>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附件3：报名登记表</w:t>
      </w:r>
    </w:p>
    <w:p w14:paraId="37AC5681"/>
    <w:p w14:paraId="11D5D951">
      <w:pPr>
        <w:jc w:val="center"/>
        <w:rPr>
          <w:rFonts w:ascii="华文中宋" w:hAnsi="华文中宋" w:eastAsia="华文中宋"/>
          <w:b/>
          <w:sz w:val="36"/>
          <w:szCs w:val="36"/>
        </w:rPr>
      </w:pPr>
      <w:r>
        <w:rPr>
          <w:rFonts w:hint="eastAsia" w:ascii="华文中宋" w:hAnsi="华文中宋" w:eastAsia="华文中宋"/>
          <w:b/>
          <w:sz w:val="36"/>
          <w:szCs w:val="36"/>
        </w:rPr>
        <w:t>报名登记表</w:t>
      </w:r>
    </w:p>
    <w:p w14:paraId="49EBDF5A"/>
    <w:tbl>
      <w:tblPr>
        <w:tblStyle w:val="8"/>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1980"/>
        <w:gridCol w:w="1440"/>
        <w:gridCol w:w="2592"/>
      </w:tblGrid>
      <w:tr w14:paraId="3D79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0B49088B">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报名项目名称（包号）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BF245C">
            <w:pPr>
              <w:jc w:val="center"/>
              <w:rPr>
                <w:rFonts w:ascii="仿宋" w:hAnsi="仿宋" w:eastAsia="仿宋"/>
                <w:kern w:val="2"/>
                <w:sz w:val="28"/>
                <w:szCs w:val="28"/>
              </w:rPr>
            </w:pPr>
          </w:p>
        </w:tc>
      </w:tr>
      <w:tr w14:paraId="3353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6D46F7C">
            <w:pPr>
              <w:ind w:firstLine="280" w:firstLineChars="100"/>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报名单位 /个人名称</w:t>
            </w:r>
          </w:p>
          <w:p w14:paraId="36D2E676">
            <w:pPr>
              <w:ind w:firstLine="236" w:firstLineChars="98"/>
              <w:rPr>
                <w:rFonts w:ascii="仿宋" w:hAnsi="仿宋" w:eastAsia="仿宋"/>
                <w:b/>
                <w:kern w:val="2"/>
                <w:sz w:val="24"/>
                <w:szCs w:val="24"/>
              </w:rPr>
            </w:pPr>
            <w:r>
              <w:rPr>
                <w:rFonts w:hint="eastAsia" w:ascii="仿宋" w:hAnsi="仿宋" w:eastAsia="仿宋"/>
                <w:b/>
                <w:kern w:val="2"/>
                <w:sz w:val="24"/>
              </w:rPr>
              <w:t>(统一社会信用代码/税号)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673902">
            <w:pPr>
              <w:jc w:val="center"/>
              <w:rPr>
                <w:rFonts w:hint="default" w:ascii="仿宋" w:hAnsi="仿宋" w:eastAsia="仿宋"/>
                <w:kern w:val="2"/>
                <w:sz w:val="28"/>
                <w:szCs w:val="28"/>
                <w:lang w:val="en-US" w:eastAsia="zh-CN"/>
              </w:rPr>
            </w:pPr>
            <w:r>
              <w:rPr>
                <w:rFonts w:hint="eastAsia"/>
                <w:kern w:val="2"/>
                <w:sz w:val="28"/>
                <w:szCs w:val="28"/>
                <w:lang w:val="en-US" w:eastAsia="zh-CN"/>
              </w:rPr>
              <w:t xml:space="preserve">                              （盖章）</w:t>
            </w:r>
          </w:p>
        </w:tc>
      </w:tr>
      <w:tr w14:paraId="105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67F5B26A">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单位  / 个人地址</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254591AF">
            <w:pPr>
              <w:jc w:val="center"/>
              <w:rPr>
                <w:rFonts w:ascii="仿宋" w:hAnsi="仿宋" w:eastAsia="仿宋"/>
                <w:kern w:val="2"/>
                <w:sz w:val="28"/>
                <w:szCs w:val="28"/>
              </w:rPr>
            </w:pPr>
          </w:p>
        </w:tc>
      </w:tr>
      <w:tr w14:paraId="43C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1B9D326A">
            <w:pPr>
              <w:jc w:val="center"/>
              <w:rPr>
                <w:rFonts w:hint="eastAsia" w:ascii="仿宋" w:hAnsi="仿宋" w:eastAsia="仿宋"/>
                <w:kern w:val="2"/>
                <w:sz w:val="28"/>
                <w:szCs w:val="28"/>
                <w:lang w:eastAsia="zh-CN"/>
              </w:rPr>
            </w:pPr>
            <w:r>
              <w:rPr>
                <w:rFonts w:hint="eastAsia" w:ascii="仿宋" w:hAnsi="仿宋" w:eastAsia="仿宋"/>
                <w:kern w:val="2"/>
                <w:sz w:val="28"/>
                <w:szCs w:val="28"/>
              </w:rPr>
              <w:t>单位电话</w:t>
            </w:r>
            <w:r>
              <w:rPr>
                <w:rFonts w:hint="eastAsia" w:ascii="仿宋" w:hAnsi="仿宋" w:eastAsia="仿宋"/>
                <w:kern w:val="2"/>
                <w:sz w:val="24"/>
              </w:rPr>
              <w:t xml:space="preserve"> </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6DB1805E">
            <w:pPr>
              <w:rPr>
                <w:rFonts w:ascii="仿宋" w:hAnsi="仿宋" w:eastAsia="仿宋"/>
                <w:kern w:val="2"/>
                <w:sz w:val="24"/>
                <w:szCs w:val="24"/>
              </w:rPr>
            </w:pPr>
          </w:p>
        </w:tc>
      </w:tr>
      <w:tr w14:paraId="1B63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7DF8D78E">
            <w:pPr>
              <w:jc w:val="center"/>
              <w:rPr>
                <w:rFonts w:ascii="仿宋" w:hAnsi="仿宋" w:eastAsia="仿宋"/>
                <w:kern w:val="2"/>
                <w:sz w:val="28"/>
                <w:szCs w:val="28"/>
              </w:rPr>
            </w:pPr>
            <w:r>
              <w:rPr>
                <w:rFonts w:hint="eastAsia"/>
                <w:kern w:val="2"/>
                <w:sz w:val="28"/>
                <w:szCs w:val="28"/>
                <w:lang w:val="en-US" w:eastAsia="zh-CN"/>
              </w:rPr>
              <w:t>*经办</w:t>
            </w:r>
            <w:r>
              <w:rPr>
                <w:rFonts w:hint="eastAsia" w:ascii="仿宋" w:hAnsi="仿宋" w:eastAsia="仿宋"/>
                <w:kern w:val="2"/>
                <w:sz w:val="28"/>
                <w:szCs w:val="28"/>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F632B3C">
            <w:pPr>
              <w:jc w:val="center"/>
              <w:rPr>
                <w:rFonts w:ascii="仿宋" w:hAnsi="仿宋" w:eastAsia="仿宋"/>
                <w:kern w:val="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70A680D">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手 机</w:t>
            </w:r>
          </w:p>
        </w:tc>
        <w:tc>
          <w:tcPr>
            <w:tcW w:w="2592" w:type="dxa"/>
            <w:tcBorders>
              <w:top w:val="single" w:color="auto" w:sz="4" w:space="0"/>
              <w:left w:val="single" w:color="auto" w:sz="4" w:space="0"/>
              <w:bottom w:val="single" w:color="auto" w:sz="4" w:space="0"/>
              <w:right w:val="single" w:color="auto" w:sz="4" w:space="0"/>
            </w:tcBorders>
            <w:noWrap w:val="0"/>
            <w:vAlign w:val="top"/>
          </w:tcPr>
          <w:p w14:paraId="1ED90068">
            <w:pPr>
              <w:jc w:val="center"/>
              <w:rPr>
                <w:rFonts w:ascii="仿宋" w:hAnsi="仿宋" w:eastAsia="仿宋"/>
                <w:kern w:val="2"/>
                <w:sz w:val="28"/>
                <w:szCs w:val="28"/>
              </w:rPr>
            </w:pPr>
          </w:p>
        </w:tc>
      </w:tr>
      <w:tr w14:paraId="0A1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90E5DF7">
            <w:pPr>
              <w:jc w:val="center"/>
              <w:rPr>
                <w:rFonts w:ascii="仿宋" w:hAnsi="仿宋" w:eastAsia="仿宋"/>
                <w:kern w:val="2"/>
                <w:sz w:val="28"/>
                <w:szCs w:val="28"/>
              </w:rPr>
            </w:pPr>
            <w:r>
              <w:rPr>
                <w:rFonts w:hint="eastAsia" w:ascii="仿宋" w:hAnsi="仿宋" w:eastAsia="仿宋"/>
                <w:kern w:val="2"/>
                <w:sz w:val="28"/>
                <w:szCs w:val="28"/>
              </w:rPr>
              <w:t>邮     箱</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2BF13E2">
            <w:pPr>
              <w:jc w:val="center"/>
              <w:rPr>
                <w:rFonts w:ascii="仿宋" w:hAnsi="仿宋" w:eastAsia="仿宋"/>
                <w:kern w:val="2"/>
                <w:sz w:val="28"/>
                <w:szCs w:val="28"/>
              </w:rPr>
            </w:pPr>
          </w:p>
        </w:tc>
      </w:tr>
      <w:tr w14:paraId="13D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25B7784A">
            <w:pPr>
              <w:jc w:val="center"/>
              <w:rPr>
                <w:rFonts w:ascii="仿宋" w:hAnsi="仿宋" w:eastAsia="仿宋"/>
                <w:kern w:val="2"/>
                <w:sz w:val="28"/>
                <w:szCs w:val="28"/>
              </w:rPr>
            </w:pPr>
            <w:r>
              <w:rPr>
                <w:rFonts w:hint="eastAsia" w:ascii="仿宋" w:hAnsi="仿宋" w:eastAsia="仿宋"/>
                <w:kern w:val="2"/>
                <w:sz w:val="28"/>
                <w:szCs w:val="28"/>
              </w:rPr>
              <w:t>备     注</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52B0637">
            <w:pPr>
              <w:rPr>
                <w:rFonts w:ascii="仿宋" w:hAnsi="仿宋" w:eastAsia="仿宋"/>
                <w:kern w:val="2"/>
                <w:sz w:val="28"/>
                <w:szCs w:val="28"/>
              </w:rPr>
            </w:pPr>
          </w:p>
        </w:tc>
      </w:tr>
    </w:tbl>
    <w:p w14:paraId="28E9893F">
      <w:pPr>
        <w:jc w:val="center"/>
        <w:rPr>
          <w:rFonts w:ascii="Times New Roman"/>
          <w:kern w:val="2"/>
          <w:sz w:val="21"/>
        </w:rPr>
      </w:pPr>
    </w:p>
    <w:p w14:paraId="6743D11D">
      <w:pPr>
        <w:spacing w:line="360" w:lineRule="auto"/>
        <w:rPr>
          <w:rFonts w:hint="default" w:ascii="仿宋" w:hAnsi="仿宋" w:eastAsia="仿宋" w:cs="Times New Roman"/>
          <w:sz w:val="24"/>
          <w:szCs w:val="24"/>
          <w:lang w:val="en-US" w:eastAsia="zh-CN"/>
        </w:rPr>
      </w:pPr>
      <w:r>
        <w:rPr>
          <w:rFonts w:hint="eastAsia" w:ascii="仿宋" w:hAnsi="仿宋" w:eastAsia="仿宋" w:cs="Times New Roman"/>
          <w:sz w:val="24"/>
          <w:szCs w:val="24"/>
        </w:rPr>
        <w:t xml:space="preserve">    </w:t>
      </w:r>
      <w:r>
        <w:rPr>
          <w:rFonts w:hint="eastAsia" w:ascii="仿宋" w:hAnsi="仿宋" w:eastAsia="仿宋" w:cs="Times New Roman"/>
          <w:sz w:val="24"/>
          <w:szCs w:val="24"/>
          <w:lang w:eastAsia="zh-CN"/>
        </w:rPr>
        <w:t>采购单位联系人：</w:t>
      </w:r>
      <w:r>
        <w:rPr>
          <w:rFonts w:hint="eastAsia" w:ascii="仿宋" w:hAnsi="仿宋" w:eastAsia="仿宋" w:cs="Times New Roman"/>
          <w:sz w:val="24"/>
          <w:szCs w:val="24"/>
          <w:lang w:val="en-US" w:eastAsia="zh-CN"/>
        </w:rPr>
        <w:t>王</w:t>
      </w:r>
      <w:r>
        <w:rPr>
          <w:rFonts w:hint="eastAsia" w:ascii="仿宋" w:hAnsi="仿宋" w:eastAsia="仿宋" w:cs="Times New Roman"/>
          <w:sz w:val="24"/>
          <w:szCs w:val="24"/>
          <w:lang w:eastAsia="zh-CN"/>
        </w:rPr>
        <w:t>老师</w:t>
      </w:r>
      <w:r>
        <w:rPr>
          <w:rFonts w:hint="eastAsia" w:ascii="仿宋" w:hAnsi="仿宋" w:eastAsia="仿宋" w:cs="Times New Roman"/>
          <w:sz w:val="24"/>
          <w:szCs w:val="24"/>
          <w:lang w:val="en-US" w:eastAsia="zh-CN"/>
        </w:rPr>
        <w:t xml:space="preserve"> 02882526150</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邮箱171650375@qq.com</w:t>
      </w:r>
    </w:p>
    <w:p w14:paraId="3E4B405A">
      <w:pPr>
        <w:spacing w:line="360" w:lineRule="auto"/>
        <w:rPr>
          <w:rFonts w:hint="eastAsia" w:ascii="仿宋" w:hAnsi="仿宋" w:eastAsia="仿宋" w:cs="Times New Roman"/>
          <w:color w:val="FF0000"/>
          <w:sz w:val="24"/>
          <w:szCs w:val="24"/>
          <w:highlight w:val="none"/>
          <w:lang w:val="en-US" w:eastAsia="zh-CN"/>
        </w:rPr>
      </w:pPr>
      <w:r>
        <w:rPr>
          <w:rFonts w:hint="eastAsia" w:ascii="仿宋" w:hAnsi="仿宋" w:eastAsia="仿宋" w:cs="Times New Roman"/>
          <w:sz w:val="24"/>
          <w:szCs w:val="24"/>
          <w:lang w:val="en-US" w:eastAsia="zh-CN"/>
        </w:rPr>
        <w:t>注:提供（1）报名登记表扫描件（2）投标单位营业执照副本复印件（3）经办人身份证复印件（以上三条均需加盖供应商公章，提供扫描至以上邮箱）（4）</w:t>
      </w:r>
      <w:r>
        <w:rPr>
          <w:rFonts w:hint="eastAsia" w:ascii="仿宋" w:hAnsi="仿宋" w:eastAsia="仿宋" w:cs="Times New Roman"/>
          <w:color w:val="FF0000"/>
          <w:sz w:val="24"/>
          <w:szCs w:val="24"/>
          <w:highlight w:val="none"/>
          <w:lang w:val="en-US" w:eastAsia="zh-CN"/>
        </w:rPr>
        <w:t>递交响应文件时，把以上3项资料盖章资料一并递交，此3项资料无需密封。</w:t>
      </w:r>
    </w:p>
    <w:p w14:paraId="15FD005A">
      <w:pPr>
        <w:spacing w:line="360" w:lineRule="auto"/>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投标单位购买招标文件时请如实认真填写报名登记表和投标人信息；若因投标单位提供的错误或不实信息，对其投标事宜造成影响的，由其投标单位自行承担所有责任。</w:t>
      </w:r>
    </w:p>
    <w:p w14:paraId="73B4E8C0">
      <w:pPr>
        <w:rPr>
          <w:rFonts w:hint="default" w:eastAsia="宋体"/>
          <w:b/>
          <w:bCs/>
          <w:lang w:val="en-US" w:eastAsia="zh-CN"/>
        </w:rPr>
      </w:pPr>
    </w:p>
    <w:p w14:paraId="6E713ADB"/>
    <w:sectPr>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E7B5F"/>
    <w:multiLevelType w:val="singleLevel"/>
    <w:tmpl w:val="81EE7B5F"/>
    <w:lvl w:ilvl="0" w:tentative="0">
      <w:start w:val="1"/>
      <w:numFmt w:val="decimal"/>
      <w:lvlText w:val="(%1)"/>
      <w:lvlJc w:val="left"/>
      <w:pPr>
        <w:ind w:left="425" w:hanging="425"/>
      </w:pPr>
      <w:rPr>
        <w:rFonts w:hint="default"/>
      </w:rPr>
    </w:lvl>
  </w:abstractNum>
  <w:abstractNum w:abstractNumId="1">
    <w:nsid w:val="880218A9"/>
    <w:multiLevelType w:val="singleLevel"/>
    <w:tmpl w:val="880218A9"/>
    <w:lvl w:ilvl="0" w:tentative="0">
      <w:start w:val="1"/>
      <w:numFmt w:val="decimal"/>
      <w:lvlText w:val="(%1)"/>
      <w:lvlJc w:val="left"/>
      <w:pPr>
        <w:ind w:left="425" w:hanging="425"/>
      </w:pPr>
      <w:rPr>
        <w:rFonts w:hint="default"/>
      </w:rPr>
    </w:lvl>
  </w:abstractNum>
  <w:abstractNum w:abstractNumId="2">
    <w:nsid w:val="93FC12E5"/>
    <w:multiLevelType w:val="singleLevel"/>
    <w:tmpl w:val="93FC12E5"/>
    <w:lvl w:ilvl="0" w:tentative="0">
      <w:start w:val="1"/>
      <w:numFmt w:val="decimal"/>
      <w:lvlText w:val="(%1)"/>
      <w:lvlJc w:val="left"/>
      <w:pPr>
        <w:ind w:left="425" w:hanging="425"/>
      </w:pPr>
      <w:rPr>
        <w:rFonts w:hint="default"/>
      </w:rPr>
    </w:lvl>
  </w:abstractNum>
  <w:abstractNum w:abstractNumId="3">
    <w:nsid w:val="A0C75DF8"/>
    <w:multiLevelType w:val="singleLevel"/>
    <w:tmpl w:val="A0C75DF8"/>
    <w:lvl w:ilvl="0" w:tentative="0">
      <w:start w:val="1"/>
      <w:numFmt w:val="decimal"/>
      <w:lvlText w:val="(%1)"/>
      <w:lvlJc w:val="left"/>
      <w:pPr>
        <w:ind w:left="425" w:hanging="425"/>
      </w:pPr>
      <w:rPr>
        <w:rFonts w:hint="default"/>
      </w:rPr>
    </w:lvl>
  </w:abstractNum>
  <w:abstractNum w:abstractNumId="4">
    <w:nsid w:val="A26A3A2C"/>
    <w:multiLevelType w:val="singleLevel"/>
    <w:tmpl w:val="A26A3A2C"/>
    <w:lvl w:ilvl="0" w:tentative="0">
      <w:start w:val="1"/>
      <w:numFmt w:val="decimal"/>
      <w:lvlText w:val="(%1)"/>
      <w:lvlJc w:val="left"/>
      <w:pPr>
        <w:ind w:left="425" w:hanging="425"/>
      </w:pPr>
      <w:rPr>
        <w:rFonts w:hint="default"/>
      </w:rPr>
    </w:lvl>
  </w:abstractNum>
  <w:abstractNum w:abstractNumId="5">
    <w:nsid w:val="AF4BE69E"/>
    <w:multiLevelType w:val="singleLevel"/>
    <w:tmpl w:val="AF4BE69E"/>
    <w:lvl w:ilvl="0" w:tentative="0">
      <w:start w:val="1"/>
      <w:numFmt w:val="chineseCounting"/>
      <w:suff w:val="nothing"/>
      <w:lvlText w:val="%1、"/>
      <w:lvlJc w:val="left"/>
      <w:rPr>
        <w:rFonts w:hint="eastAsia"/>
      </w:rPr>
    </w:lvl>
  </w:abstractNum>
  <w:abstractNum w:abstractNumId="6">
    <w:nsid w:val="BBDAE156"/>
    <w:multiLevelType w:val="singleLevel"/>
    <w:tmpl w:val="BBDAE156"/>
    <w:lvl w:ilvl="0" w:tentative="0">
      <w:start w:val="1"/>
      <w:numFmt w:val="decimal"/>
      <w:lvlText w:val="(%1)"/>
      <w:lvlJc w:val="left"/>
      <w:pPr>
        <w:ind w:left="425" w:hanging="425"/>
      </w:pPr>
      <w:rPr>
        <w:rFonts w:hint="default"/>
      </w:rPr>
    </w:lvl>
  </w:abstractNum>
  <w:abstractNum w:abstractNumId="7">
    <w:nsid w:val="CB563173"/>
    <w:multiLevelType w:val="singleLevel"/>
    <w:tmpl w:val="CB563173"/>
    <w:lvl w:ilvl="0" w:tentative="0">
      <w:start w:val="1"/>
      <w:numFmt w:val="decimal"/>
      <w:lvlText w:val="(%1)"/>
      <w:lvlJc w:val="left"/>
      <w:pPr>
        <w:ind w:left="425" w:hanging="425"/>
      </w:pPr>
      <w:rPr>
        <w:rFonts w:hint="default"/>
      </w:rPr>
    </w:lvl>
  </w:abstractNum>
  <w:abstractNum w:abstractNumId="8">
    <w:nsid w:val="E56B2D59"/>
    <w:multiLevelType w:val="singleLevel"/>
    <w:tmpl w:val="E56B2D59"/>
    <w:lvl w:ilvl="0" w:tentative="0">
      <w:start w:val="1"/>
      <w:numFmt w:val="chineseCounting"/>
      <w:suff w:val="nothing"/>
      <w:lvlText w:val="%1、"/>
      <w:lvlJc w:val="left"/>
      <w:rPr>
        <w:rFonts w:hint="eastAsia"/>
      </w:rPr>
    </w:lvl>
  </w:abstractNum>
  <w:abstractNum w:abstractNumId="9">
    <w:nsid w:val="1B967B2F"/>
    <w:multiLevelType w:val="singleLevel"/>
    <w:tmpl w:val="1B967B2F"/>
    <w:lvl w:ilvl="0" w:tentative="0">
      <w:start w:val="1"/>
      <w:numFmt w:val="decimal"/>
      <w:lvlText w:val="(%1)"/>
      <w:lvlJc w:val="left"/>
      <w:pPr>
        <w:ind w:left="425" w:hanging="425"/>
      </w:pPr>
      <w:rPr>
        <w:rFonts w:hint="default"/>
      </w:rPr>
    </w:lvl>
  </w:abstractNum>
  <w:abstractNum w:abstractNumId="10">
    <w:nsid w:val="1C6D01F7"/>
    <w:multiLevelType w:val="singleLevel"/>
    <w:tmpl w:val="1C6D01F7"/>
    <w:lvl w:ilvl="0" w:tentative="0">
      <w:start w:val="1"/>
      <w:numFmt w:val="decimal"/>
      <w:lvlText w:val="(%1)"/>
      <w:lvlJc w:val="left"/>
      <w:pPr>
        <w:ind w:left="425" w:hanging="425"/>
      </w:pPr>
      <w:rPr>
        <w:rFonts w:hint="default"/>
      </w:rPr>
    </w:lvl>
  </w:abstractNum>
  <w:abstractNum w:abstractNumId="11">
    <w:nsid w:val="327A8A8D"/>
    <w:multiLevelType w:val="singleLevel"/>
    <w:tmpl w:val="327A8A8D"/>
    <w:lvl w:ilvl="0" w:tentative="0">
      <w:start w:val="1"/>
      <w:numFmt w:val="decimal"/>
      <w:lvlText w:val="(%1)"/>
      <w:lvlJc w:val="left"/>
      <w:pPr>
        <w:ind w:left="425" w:hanging="425"/>
      </w:pPr>
      <w:rPr>
        <w:rFonts w:hint="default"/>
      </w:rPr>
    </w:lvl>
  </w:abstractNum>
  <w:abstractNum w:abstractNumId="12">
    <w:nsid w:val="61E3E977"/>
    <w:multiLevelType w:val="singleLevel"/>
    <w:tmpl w:val="61E3E977"/>
    <w:lvl w:ilvl="0" w:tentative="0">
      <w:start w:val="1"/>
      <w:numFmt w:val="decimal"/>
      <w:lvlText w:val="(%1)"/>
      <w:lvlJc w:val="left"/>
      <w:pPr>
        <w:ind w:left="425" w:hanging="425"/>
      </w:pPr>
      <w:rPr>
        <w:rFonts w:hint="default"/>
      </w:rPr>
    </w:lvl>
  </w:abstractNum>
  <w:abstractNum w:abstractNumId="13">
    <w:nsid w:val="7AB75360"/>
    <w:multiLevelType w:val="singleLevel"/>
    <w:tmpl w:val="7AB75360"/>
    <w:lvl w:ilvl="0" w:tentative="0">
      <w:start w:val="1"/>
      <w:numFmt w:val="decimal"/>
      <w:lvlText w:val="(%1)"/>
      <w:lvlJc w:val="left"/>
      <w:pPr>
        <w:ind w:left="425" w:hanging="425"/>
      </w:pPr>
      <w:rPr>
        <w:rFonts w:hint="default"/>
      </w:rPr>
    </w:lvl>
  </w:abstractNum>
  <w:abstractNum w:abstractNumId="14">
    <w:nsid w:val="7BECD012"/>
    <w:multiLevelType w:val="singleLevel"/>
    <w:tmpl w:val="7BECD012"/>
    <w:lvl w:ilvl="0" w:tentative="0">
      <w:start w:val="1"/>
      <w:numFmt w:val="decimal"/>
      <w:lvlText w:val="(%1)"/>
      <w:lvlJc w:val="left"/>
      <w:pPr>
        <w:ind w:left="425" w:hanging="425"/>
      </w:pPr>
      <w:rPr>
        <w:rFonts w:hint="default"/>
      </w:rPr>
    </w:lvl>
  </w:abstractNum>
  <w:num w:numId="1">
    <w:abstractNumId w:val="8"/>
  </w:num>
  <w:num w:numId="2">
    <w:abstractNumId w:val="5"/>
  </w:num>
  <w:num w:numId="3">
    <w:abstractNumId w:val="11"/>
  </w:num>
  <w:num w:numId="4">
    <w:abstractNumId w:val="1"/>
  </w:num>
  <w:num w:numId="5">
    <w:abstractNumId w:val="7"/>
  </w:num>
  <w:num w:numId="6">
    <w:abstractNumId w:val="10"/>
  </w:num>
  <w:num w:numId="7">
    <w:abstractNumId w:val="6"/>
  </w:num>
  <w:num w:numId="8">
    <w:abstractNumId w:val="3"/>
  </w:num>
  <w:num w:numId="9">
    <w:abstractNumId w:val="2"/>
  </w:num>
  <w:num w:numId="10">
    <w:abstractNumId w:val="0"/>
  </w:num>
  <w:num w:numId="11">
    <w:abstractNumId w:val="4"/>
  </w:num>
  <w:num w:numId="12">
    <w:abstractNumId w:val="14"/>
  </w:num>
  <w:num w:numId="13">
    <w:abstractNumId w:val="9"/>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NWE5OTI5YjIyMTM3ZDZjNjlkMWZhMzhjMTlmZmUifQ=="/>
  </w:docVars>
  <w:rsids>
    <w:rsidRoot w:val="00000000"/>
    <w:rsid w:val="3E3A71C5"/>
    <w:rsid w:val="4A1C0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宋体" w:hAnsi="Times New Roman"/>
      <w:kern w:val="0"/>
      <w:sz w:val="34"/>
      <w:szCs w:val="20"/>
    </w:rPr>
  </w:style>
  <w:style w:type="paragraph" w:styleId="3">
    <w:name w:val="Body Text 2"/>
    <w:basedOn w:val="1"/>
    <w:next w:val="2"/>
    <w:uiPriority w:val="0"/>
    <w:pPr>
      <w:widowControl/>
      <w:spacing w:before="100" w:beforeAutospacing="1" w:after="100" w:afterAutospacing="1"/>
      <w:jc w:val="left"/>
    </w:pPr>
    <w:rPr>
      <w:rFonts w:hAnsi="宋体"/>
      <w:kern w:val="0"/>
    </w:rPr>
  </w:style>
  <w:style w:type="paragraph" w:styleId="4">
    <w:name w:val="Body Text Indent"/>
    <w:basedOn w:val="1"/>
    <w:next w:val="5"/>
    <w:qFormat/>
    <w:uiPriority w:val="0"/>
    <w:pPr>
      <w:spacing w:line="500" w:lineRule="exact"/>
      <w:ind w:left="832" w:leftChars="832" w:firstLine="433" w:firstLineChars="196"/>
    </w:pPr>
    <w:rPr>
      <w:sz w:val="24"/>
    </w:rPr>
  </w:style>
  <w:style w:type="paragraph" w:styleId="5">
    <w:name w:val="Body Text First Indent 2"/>
    <w:basedOn w:val="4"/>
    <w:qFormat/>
    <w:uiPriority w:val="0"/>
    <w:pPr>
      <w:spacing w:after="120" w:line="240" w:lineRule="auto"/>
      <w:ind w:left="420" w:leftChars="200" w:firstLine="420"/>
    </w:pPr>
    <w:rPr>
      <w:sz w:val="21"/>
    </w:rPr>
  </w:style>
  <w:style w:type="paragraph" w:styleId="6">
    <w:name w:val="List"/>
    <w:basedOn w:val="1"/>
    <w:qFormat/>
    <w:uiPriority w:val="0"/>
    <w:pPr>
      <w:spacing w:line="360" w:lineRule="auto"/>
      <w:ind w:left="200" w:hanging="200" w:hangingChars="200"/>
    </w:pPr>
    <w:rPr>
      <w:rFonts w:ascii="Times New Roman" w:hAnsi="Times New Roman" w:eastAsia="宋体" w:cs="Times New Roman"/>
      <w:sz w:val="24"/>
      <w:szCs w:val="20"/>
    </w:rPr>
  </w:style>
  <w:style w:type="paragraph" w:styleId="7">
    <w:name w:val="Body Text First Indent"/>
    <w:basedOn w:val="2"/>
    <w:next w:val="1"/>
    <w:uiPriority w:val="0"/>
    <w:pPr>
      <w:spacing w:after="0"/>
      <w:ind w:firstLine="200" w:firstLineChars="200"/>
    </w:pPr>
    <w:rPr>
      <w:rFonts w:ascii="Times New Roman" w:hAnsi="Times New Roman"/>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5332</Words>
  <Characters>5590</Characters>
  <Lines>0</Lines>
  <Paragraphs>0</Paragraphs>
  <TotalTime>2</TotalTime>
  <ScaleCrop>false</ScaleCrop>
  <LinksUpToDate>false</LinksUpToDate>
  <CharactersWithSpaces>5675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2024-08-21T02:59:21Z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021C317B23FA4BE3BCE734A959C2DAC1_12</vt:lpwstr>
  </property>
</Properties>
</file>