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6A79ED">
      <w:pPr>
        <w:spacing w:before="156" w:beforeLines="50" w:line="400" w:lineRule="exact"/>
        <w:jc w:val="center"/>
        <w:rPr>
          <w:rFonts w:hint="eastAsia" w:ascii="宋体" w:hAnsi="宋体" w:cs="宋体"/>
          <w:color w:val="000000"/>
          <w:kern w:val="1"/>
          <w:sz w:val="36"/>
          <w:szCs w:val="36"/>
          <w:lang w:val="en-US" w:eastAsia="zh-CN"/>
        </w:rPr>
      </w:pPr>
      <w:r>
        <w:rPr>
          <w:rFonts w:hint="eastAsia" w:ascii="宋体" w:hAnsi="宋体" w:cs="宋体"/>
          <w:color w:val="000000"/>
          <w:kern w:val="1"/>
          <w:sz w:val="36"/>
          <w:szCs w:val="36"/>
          <w:lang w:val="en-US" w:eastAsia="zh-CN"/>
        </w:rPr>
        <w:t>成都市新津区中医医院2026年</w:t>
      </w:r>
    </w:p>
    <w:p w14:paraId="6DCE44CC">
      <w:pPr>
        <w:ind w:firstLine="360" w:firstLineChars="100"/>
        <w:jc w:val="center"/>
        <w:rPr>
          <w:rFonts w:hint="default"/>
          <w:sz w:val="36"/>
          <w:szCs w:val="21"/>
          <w:lang w:val="en-US" w:eastAsia="zh-CN"/>
        </w:rPr>
      </w:pPr>
      <w:r>
        <w:rPr>
          <w:rFonts w:hint="eastAsia" w:ascii="宋体" w:hAnsi="宋体" w:cs="宋体"/>
          <w:color w:val="000000"/>
          <w:kern w:val="1"/>
          <w:sz w:val="36"/>
          <w:szCs w:val="36"/>
          <w:lang w:val="en-US" w:eastAsia="zh-CN"/>
        </w:rPr>
        <w:t>甘草先生中药咖啡店原材料采购项目</w:t>
      </w:r>
      <w:r>
        <w:rPr>
          <w:rFonts w:hint="default"/>
          <w:sz w:val="36"/>
          <w:szCs w:val="21"/>
          <w:lang w:val="en-US" w:eastAsia="zh-CN"/>
        </w:rPr>
        <w:t>询预算价公示</w:t>
      </w:r>
    </w:p>
    <w:p w14:paraId="2523472B">
      <w:pPr>
        <w:spacing w:line="360" w:lineRule="auto"/>
        <w:jc w:val="left"/>
        <w:rPr>
          <w:rFonts w:hint="eastAsia" w:ascii="仿宋" w:hAnsi="仿宋" w:eastAsia="仿宋" w:cs="仿宋"/>
          <w:color w:val="auto"/>
          <w:sz w:val="28"/>
          <w:szCs w:val="28"/>
          <w:lang w:val="en-US" w:eastAsia="zh-CN"/>
        </w:rPr>
      </w:pPr>
    </w:p>
    <w:p w14:paraId="5DAB4E44">
      <w:pPr>
        <w:spacing w:line="360" w:lineRule="auto"/>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各潜在供应商：</w:t>
      </w:r>
    </w:p>
    <w:p w14:paraId="3780919E">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我院拟采购甘草先生中药咖啡店原材料项目。现将具体采购需求公告如下，各潜在供应商如有意向参与，请主动与我院联系，并在公示期内提供以下资料，以便初步甄选。</w:t>
      </w:r>
    </w:p>
    <w:p w14:paraId="696D7DD5">
      <w:pPr>
        <w:numPr>
          <w:ilvl w:val="0"/>
          <w:numId w:val="1"/>
        </w:numPr>
        <w:spacing w:line="56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公司情况介绍：</w:t>
      </w:r>
    </w:p>
    <w:p w14:paraId="66B67E55">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1、公司相关业务情况、业绩简介。</w:t>
      </w:r>
    </w:p>
    <w:p w14:paraId="0FF25C91">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2、公司营业执照复印件；公司法人身份证复印件，或授权委托书及授权委托人身份证复印件。</w:t>
      </w:r>
    </w:p>
    <w:p w14:paraId="05CF63A8">
      <w:pPr>
        <w:spacing w:line="360" w:lineRule="auto"/>
        <w:ind w:firstLine="560" w:firstLineChars="200"/>
        <w:jc w:val="lef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3、投标人必须具有食品经营许可证。（描述：投标人必须具有食品经营许可证（提供证书扫描件）。）</w:t>
      </w:r>
    </w:p>
    <w:p w14:paraId="51EC600D">
      <w:pPr>
        <w:numPr>
          <w:ilvl w:val="0"/>
          <w:numId w:val="1"/>
        </w:numPr>
        <w:spacing w:line="56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报名要求：</w:t>
      </w:r>
    </w:p>
    <w:p w14:paraId="1FA6DA66">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1、资料必须密封，现场递交成都市新津区中医医院采购部（医院行政办公区二楼）。</w:t>
      </w:r>
    </w:p>
    <w:p w14:paraId="141741F6">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2、报价资料需按照医院要求格式报价。（附件2）</w:t>
      </w:r>
    </w:p>
    <w:p w14:paraId="26F21A38">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3、提供相关技术参数、功能模板及服务方案简介资料，可优化和细化功能参数，以便医院甄选使用。（</w:t>
      </w:r>
      <w:r>
        <w:rPr>
          <w:rFonts w:hint="eastAsia" w:ascii="仿宋" w:hAnsi="仿宋" w:eastAsia="仿宋" w:cs="仿宋"/>
          <w:color w:val="auto"/>
          <w:sz w:val="28"/>
          <w:szCs w:val="28"/>
          <w:highlight w:val="none"/>
          <w:lang w:val="en-US" w:eastAsia="zh-CN"/>
        </w:rPr>
        <w:t>该项目无需电子报价</w:t>
      </w:r>
      <w:r>
        <w:rPr>
          <w:rFonts w:hint="eastAsia" w:ascii="仿宋" w:hAnsi="仿宋" w:eastAsia="仿宋" w:cs="仿宋"/>
          <w:color w:val="auto"/>
          <w:sz w:val="28"/>
          <w:szCs w:val="28"/>
          <w:lang w:val="en-US" w:eastAsia="zh-CN"/>
        </w:rPr>
        <w:t>）</w:t>
      </w:r>
    </w:p>
    <w:p w14:paraId="3AFA9DFF">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4、参与供应商应符合《政府采购法》第二十二条的相关资质要求，具备相关资质。并提供相关证明材料或承诺函。 </w:t>
      </w:r>
    </w:p>
    <w:p w14:paraId="17C85DFB">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5、拟参与本项目的供应商如需了解项目情况，自行对接该项目负责人了解相关信息。</w:t>
      </w:r>
    </w:p>
    <w:p w14:paraId="44CDB985">
      <w:pPr>
        <w:spacing w:line="360" w:lineRule="auto"/>
        <w:ind w:firstLine="560" w:firstLineChars="200"/>
        <w:jc w:val="left"/>
        <w:rPr>
          <w:color w:val="auto"/>
        </w:rPr>
      </w:pPr>
      <w:r>
        <w:rPr>
          <w:rFonts w:hint="eastAsia" w:ascii="仿宋" w:hAnsi="仿宋" w:eastAsia="仿宋" w:cs="仿宋"/>
          <w:color w:val="auto"/>
          <w:sz w:val="28"/>
          <w:szCs w:val="28"/>
          <w:lang w:val="en-US" w:eastAsia="zh-CN"/>
        </w:rPr>
        <w:t>6、所有递交资料及相关证明材料必须加盖供应商鲜章有效。</w:t>
      </w:r>
    </w:p>
    <w:p w14:paraId="6DC9E655">
      <w:pPr>
        <w:numPr>
          <w:ilvl w:val="0"/>
          <w:numId w:val="1"/>
        </w:numPr>
        <w:spacing w:line="56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本次公开询价结果只作为本项目采购预算价，不作为成交价。</w:t>
      </w:r>
    </w:p>
    <w:p w14:paraId="2297674B">
      <w:pPr>
        <w:numPr>
          <w:ilvl w:val="0"/>
          <w:numId w:val="1"/>
        </w:numPr>
        <w:spacing w:line="56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其他事项</w:t>
      </w:r>
    </w:p>
    <w:p w14:paraId="75E6CF18">
      <w:pPr>
        <w:spacing w:line="360" w:lineRule="auto"/>
        <w:ind w:firstLine="560" w:firstLineChars="200"/>
        <w:jc w:val="left"/>
        <w:rPr>
          <w:rFonts w:hint="default" w:ascii="仿宋" w:hAnsi="仿宋" w:eastAsia="仿宋" w:cs="仿宋"/>
          <w:color w:val="auto"/>
          <w:sz w:val="28"/>
          <w:szCs w:val="28"/>
          <w:lang w:val="en-US" w:eastAsia="zh-CN"/>
        </w:rPr>
      </w:pPr>
      <w:bookmarkStart w:id="0" w:name="_Toc20249"/>
      <w:bookmarkStart w:id="1" w:name="_Toc20665"/>
      <w:r>
        <w:rPr>
          <w:rFonts w:hint="eastAsia" w:ascii="仿宋" w:hAnsi="仿宋" w:eastAsia="仿宋" w:cs="仿宋"/>
          <w:color w:val="auto"/>
          <w:sz w:val="28"/>
          <w:szCs w:val="28"/>
          <w:lang w:val="en-US" w:eastAsia="zh-CN"/>
        </w:rPr>
        <w:t>1、报名资料接收时间：（2025年12月15日-2025年12月18日工作时间9:00-16:00；文件接收截止日期：2025年12月22日16：00）递交资料人员须为法人或授权委托人并提供证明文件查看。报名登记表见附件3。</w:t>
      </w:r>
    </w:p>
    <w:p w14:paraId="42492556">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2、公示人：成都市新津区中医医院 地址：成都市新津区西创大道1389号。</w:t>
      </w:r>
    </w:p>
    <w:p w14:paraId="5E5B8F25">
      <w:pPr>
        <w:spacing w:line="360" w:lineRule="auto"/>
        <w:ind w:firstLine="560" w:firstLineChars="200"/>
        <w:jc w:val="left"/>
        <w:rPr>
          <w:rFonts w:hint="default" w:hAnsi="宋体" w:cs="仿宋_GB2312"/>
          <w:color w:val="auto"/>
          <w:sz w:val="28"/>
          <w:szCs w:val="28"/>
          <w:lang w:val="en-US" w:eastAsia="zh-CN"/>
        </w:rPr>
      </w:pPr>
      <w:r>
        <w:rPr>
          <w:rFonts w:hint="eastAsia" w:ascii="仿宋" w:hAnsi="仿宋" w:eastAsia="仿宋" w:cs="仿宋"/>
          <w:color w:val="auto"/>
          <w:sz w:val="28"/>
          <w:szCs w:val="28"/>
          <w:lang w:val="en-US" w:eastAsia="zh-CN"/>
        </w:rPr>
        <w:t>3、报名联系人：潘老师、周老师028-82526150 ；项目咨询联系人：陈老师，</w:t>
      </w:r>
      <w:r>
        <w:rPr>
          <w:rFonts w:hint="eastAsia" w:hAnsi="宋体" w:cs="仿宋_GB2312"/>
          <w:color w:val="auto"/>
          <w:sz w:val="28"/>
          <w:szCs w:val="28"/>
          <w:lang w:val="en-US" w:eastAsia="zh-CN"/>
        </w:rPr>
        <w:t>13982085772。</w:t>
      </w:r>
    </w:p>
    <w:p w14:paraId="3759203C">
      <w:pPr>
        <w:spacing w:line="360" w:lineRule="auto"/>
        <w:ind w:firstLine="560" w:firstLineChars="200"/>
        <w:jc w:val="lef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4、报名供应商可通过邮箱845865477@qq.com报名。报名需提交报名登记表及登记表要求的相关资质资料（盖公章）。</w:t>
      </w:r>
    </w:p>
    <w:p w14:paraId="15C1B6FD">
      <w:pPr>
        <w:numPr>
          <w:ilvl w:val="0"/>
          <w:numId w:val="0"/>
        </w:numPr>
        <w:spacing w:line="560" w:lineRule="exact"/>
        <w:rPr>
          <w:rFonts w:hint="eastAsia" w:ascii="仿宋" w:hAnsi="仿宋" w:eastAsia="仿宋" w:cs="仿宋"/>
          <w:b/>
          <w:bCs/>
          <w:color w:val="auto"/>
          <w:sz w:val="32"/>
          <w:szCs w:val="32"/>
          <w:lang w:val="en-US" w:eastAsia="zh-CN"/>
        </w:rPr>
      </w:pPr>
    </w:p>
    <w:p w14:paraId="507614C8">
      <w:pPr>
        <w:numPr>
          <w:ilvl w:val="0"/>
          <w:numId w:val="0"/>
        </w:numPr>
        <w:spacing w:line="560" w:lineRule="exact"/>
        <w:rPr>
          <w:rFonts w:hint="eastAsia" w:ascii="仿宋" w:hAnsi="仿宋" w:eastAsia="仿宋" w:cs="仿宋"/>
          <w:b/>
          <w:bCs/>
          <w:color w:val="auto"/>
          <w:sz w:val="32"/>
          <w:szCs w:val="32"/>
          <w:lang w:val="en-US" w:eastAsia="zh-CN"/>
        </w:rPr>
      </w:pPr>
    </w:p>
    <w:p w14:paraId="69539C88">
      <w:pPr>
        <w:numPr>
          <w:ilvl w:val="0"/>
          <w:numId w:val="0"/>
        </w:numPr>
        <w:spacing w:line="560" w:lineRule="exact"/>
        <w:rPr>
          <w:rFonts w:hint="eastAsia" w:ascii="仿宋" w:hAnsi="仿宋" w:eastAsia="仿宋" w:cs="仿宋"/>
          <w:b/>
          <w:bCs/>
          <w:color w:val="auto"/>
          <w:sz w:val="32"/>
          <w:szCs w:val="32"/>
          <w:lang w:val="en-US" w:eastAsia="zh-CN"/>
        </w:rPr>
      </w:pPr>
    </w:p>
    <w:p w14:paraId="5F1BA607">
      <w:pPr>
        <w:numPr>
          <w:ilvl w:val="0"/>
          <w:numId w:val="0"/>
        </w:numPr>
        <w:spacing w:line="560" w:lineRule="exact"/>
        <w:rPr>
          <w:rFonts w:hint="eastAsia" w:ascii="仿宋" w:hAnsi="仿宋" w:eastAsia="仿宋" w:cs="仿宋"/>
          <w:b/>
          <w:bCs/>
          <w:color w:val="auto"/>
          <w:sz w:val="32"/>
          <w:szCs w:val="32"/>
          <w:lang w:val="en-US" w:eastAsia="zh-CN"/>
        </w:rPr>
      </w:pPr>
    </w:p>
    <w:p w14:paraId="563561BC">
      <w:pPr>
        <w:rPr>
          <w:rFonts w:hint="eastAsia"/>
          <w:lang w:val="en-US" w:eastAsia="zh-CN"/>
        </w:rPr>
      </w:pPr>
    </w:p>
    <w:p w14:paraId="75B929A9">
      <w:pPr>
        <w:rPr>
          <w:rFonts w:hint="eastAsia"/>
          <w:lang w:val="en-US" w:eastAsia="zh-CN"/>
        </w:rPr>
      </w:pPr>
    </w:p>
    <w:p w14:paraId="21633BFF">
      <w:pPr>
        <w:rPr>
          <w:rFonts w:hint="eastAsia"/>
          <w:lang w:val="en-US" w:eastAsia="zh-CN"/>
        </w:rPr>
      </w:pPr>
    </w:p>
    <w:p w14:paraId="62F36AF1">
      <w:pPr>
        <w:rPr>
          <w:rFonts w:hint="eastAsia"/>
          <w:lang w:val="en-US" w:eastAsia="zh-CN"/>
        </w:rPr>
      </w:pPr>
    </w:p>
    <w:p w14:paraId="0924499F">
      <w:pPr>
        <w:rPr>
          <w:rFonts w:hint="eastAsia"/>
          <w:lang w:val="en-US" w:eastAsia="zh-CN"/>
        </w:rPr>
      </w:pPr>
    </w:p>
    <w:p w14:paraId="39FCB904">
      <w:pPr>
        <w:rPr>
          <w:rFonts w:hint="eastAsia"/>
          <w:lang w:val="en-US" w:eastAsia="zh-CN"/>
        </w:rPr>
      </w:pPr>
    </w:p>
    <w:p w14:paraId="46A5D3F6">
      <w:pPr>
        <w:rPr>
          <w:rFonts w:hint="eastAsia"/>
          <w:lang w:val="en-US" w:eastAsia="zh-CN"/>
        </w:rPr>
      </w:pPr>
    </w:p>
    <w:p w14:paraId="18BDC242">
      <w:pPr>
        <w:numPr>
          <w:ilvl w:val="0"/>
          <w:numId w:val="0"/>
        </w:numPr>
        <w:spacing w:line="560" w:lineRule="exact"/>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附件1：</w:t>
      </w:r>
    </w:p>
    <w:p w14:paraId="4A073D7D">
      <w:pPr>
        <w:numPr>
          <w:ilvl w:val="0"/>
          <w:numId w:val="0"/>
        </w:numPr>
        <w:spacing w:line="560" w:lineRule="exact"/>
        <w:rPr>
          <w:rFonts w:hint="eastAsia" w:ascii="仿宋" w:hAnsi="仿宋" w:eastAsia="仿宋" w:cs="仿宋"/>
          <w:b/>
          <w:bCs/>
          <w:i w:val="0"/>
          <w:iCs w:val="0"/>
          <w:color w:val="000000"/>
          <w:kern w:val="0"/>
          <w:sz w:val="32"/>
          <w:szCs w:val="32"/>
          <w:u w:val="none"/>
          <w:lang w:val="en-US" w:eastAsia="zh-CN" w:bidi="ar"/>
        </w:rPr>
      </w:pPr>
      <w:r>
        <w:rPr>
          <w:rFonts w:hint="eastAsia" w:ascii="仿宋" w:hAnsi="仿宋" w:eastAsia="仿宋" w:cs="仿宋"/>
          <w:b/>
          <w:bCs/>
          <w:i w:val="0"/>
          <w:iCs w:val="0"/>
          <w:color w:val="000000"/>
          <w:kern w:val="0"/>
          <w:sz w:val="32"/>
          <w:szCs w:val="32"/>
          <w:u w:val="none"/>
          <w:lang w:val="en-US" w:eastAsia="zh-CN" w:bidi="ar"/>
        </w:rPr>
        <w:t>一、项目简介</w:t>
      </w:r>
    </w:p>
    <w:p w14:paraId="1C99A6EC">
      <w:pPr>
        <w:spacing w:line="360" w:lineRule="auto"/>
        <w:ind w:firstLine="560" w:firstLineChars="200"/>
        <w:jc w:val="left"/>
        <w:rPr>
          <w:rFonts w:hint="eastAsia" w:ascii="仿宋" w:hAnsi="仿宋" w:eastAsia="仿宋" w:cs="仿宋"/>
          <w:color w:val="000000"/>
          <w:sz w:val="28"/>
          <w:szCs w:val="32"/>
          <w:lang w:val="en-US" w:eastAsia="zh-CN" w:bidi="zh-CN"/>
        </w:rPr>
      </w:pPr>
      <w:r>
        <w:rPr>
          <w:rFonts w:hint="eastAsia" w:ascii="仿宋" w:hAnsi="仿宋" w:eastAsia="仿宋" w:cs="仿宋"/>
          <w:color w:val="000000"/>
          <w:sz w:val="28"/>
          <w:szCs w:val="32"/>
          <w:lang w:val="en-US" w:eastAsia="zh-CN" w:bidi="zh-CN"/>
        </w:rPr>
        <w:t>为满足顾客对药食同源中药咖啡养生饮品的消费需求，保障成都市新津区中医医院“甘草先生”中药咖啡系列产品的正常供应，现需补充一批核心原料。</w:t>
      </w:r>
    </w:p>
    <w:p w14:paraId="432A81A9">
      <w:pPr>
        <w:numPr>
          <w:ilvl w:val="0"/>
          <w:numId w:val="0"/>
        </w:numPr>
        <w:spacing w:line="560" w:lineRule="exact"/>
        <w:rPr>
          <w:rFonts w:hint="eastAsia" w:ascii="仿宋" w:hAnsi="仿宋" w:eastAsia="仿宋" w:cs="仿宋"/>
          <w:b/>
          <w:bCs/>
          <w:i w:val="0"/>
          <w:iCs w:val="0"/>
          <w:color w:val="000000"/>
          <w:kern w:val="0"/>
          <w:sz w:val="28"/>
          <w:szCs w:val="2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二</w:t>
      </w:r>
      <w:r>
        <w:rPr>
          <w:rFonts w:hint="eastAsia" w:ascii="仿宋" w:hAnsi="仿宋" w:eastAsia="仿宋" w:cs="仿宋"/>
          <w:b/>
          <w:bCs/>
          <w:i w:val="0"/>
          <w:iCs w:val="0"/>
          <w:color w:val="000000"/>
          <w:kern w:val="0"/>
          <w:sz w:val="32"/>
          <w:szCs w:val="32"/>
          <w:u w:val="none"/>
          <w:lang w:val="en-US" w:eastAsia="zh-CN" w:bidi="ar"/>
        </w:rPr>
        <w:t>、采购需求及要求
</w:t>
      </w:r>
    </w:p>
    <w:tbl>
      <w:tblPr>
        <w:tblStyle w:val="15"/>
        <w:tblpPr w:leftFromText="180" w:rightFromText="180" w:vertAnchor="text" w:horzAnchor="page" w:tblpX="1620" w:tblpY="600"/>
        <w:tblOverlap w:val="never"/>
        <w:tblW w:w="92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7"/>
        <w:gridCol w:w="1950"/>
        <w:gridCol w:w="2963"/>
        <w:gridCol w:w="1613"/>
        <w:gridCol w:w="1845"/>
      </w:tblGrid>
      <w:tr w14:paraId="20157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87" w:type="dxa"/>
            <w:tcBorders>
              <w:top w:val="single" w:color="000000" w:sz="4" w:space="0"/>
              <w:left w:val="single" w:color="000000" w:sz="4" w:space="0"/>
              <w:bottom w:val="single" w:color="000000" w:sz="4" w:space="0"/>
              <w:right w:val="single" w:color="000000" w:sz="4" w:space="0"/>
            </w:tcBorders>
            <w:noWrap/>
            <w:vAlign w:val="center"/>
          </w:tcPr>
          <w:p w14:paraId="6B19DC49">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序号</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253D2EA8">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品名</w:t>
            </w:r>
          </w:p>
        </w:tc>
        <w:tc>
          <w:tcPr>
            <w:tcW w:w="2963" w:type="dxa"/>
            <w:tcBorders>
              <w:top w:val="single" w:color="000000" w:sz="4" w:space="0"/>
              <w:left w:val="single" w:color="000000" w:sz="4" w:space="0"/>
              <w:bottom w:val="single" w:color="000000" w:sz="4" w:space="0"/>
              <w:right w:val="single" w:color="000000" w:sz="4" w:space="0"/>
            </w:tcBorders>
            <w:noWrap w:val="0"/>
            <w:vAlign w:val="center"/>
          </w:tcPr>
          <w:p w14:paraId="5893BF83">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规格</w:t>
            </w:r>
          </w:p>
        </w:tc>
        <w:tc>
          <w:tcPr>
            <w:tcW w:w="1613" w:type="dxa"/>
            <w:tcBorders>
              <w:top w:val="single" w:color="000000" w:sz="4" w:space="0"/>
              <w:left w:val="single" w:color="000000" w:sz="4" w:space="0"/>
              <w:bottom w:val="single" w:color="000000" w:sz="4" w:space="0"/>
              <w:right w:val="single" w:color="000000" w:sz="4" w:space="0"/>
            </w:tcBorders>
            <w:noWrap/>
            <w:vAlign w:val="center"/>
          </w:tcPr>
          <w:p w14:paraId="29E66F9F">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单位</w:t>
            </w:r>
          </w:p>
        </w:tc>
        <w:tc>
          <w:tcPr>
            <w:tcW w:w="1845" w:type="dxa"/>
            <w:tcBorders>
              <w:top w:val="single" w:color="000000" w:sz="4" w:space="0"/>
              <w:left w:val="single" w:color="000000" w:sz="4" w:space="0"/>
              <w:bottom w:val="single" w:color="000000" w:sz="4" w:space="0"/>
              <w:right w:val="single" w:color="000000" w:sz="4" w:space="0"/>
            </w:tcBorders>
            <w:noWrap/>
            <w:vAlign w:val="center"/>
          </w:tcPr>
          <w:p w14:paraId="54DAD3B3">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数量</w:t>
            </w:r>
          </w:p>
        </w:tc>
      </w:tr>
      <w:tr w14:paraId="37B9C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87" w:type="dxa"/>
            <w:tcBorders>
              <w:top w:val="single" w:color="000000" w:sz="4" w:space="0"/>
              <w:left w:val="single" w:color="000000" w:sz="4" w:space="0"/>
              <w:bottom w:val="single" w:color="000000" w:sz="4" w:space="0"/>
              <w:right w:val="single" w:color="000000" w:sz="4" w:space="0"/>
            </w:tcBorders>
            <w:noWrap/>
            <w:vAlign w:val="center"/>
          </w:tcPr>
          <w:p w14:paraId="61085884">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6BDA4642">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lang w:val="en-US" w:eastAsia="zh-CN"/>
              </w:rPr>
            </w:pPr>
            <w:r>
              <w:rPr>
                <w:rFonts w:hint="eastAsia" w:ascii="仿宋" w:hAnsi="仿宋" w:eastAsia="仿宋" w:cs="仿宋"/>
                <w:i w:val="0"/>
                <w:iCs w:val="0"/>
                <w:color w:val="auto"/>
                <w:sz w:val="28"/>
                <w:szCs w:val="28"/>
                <w:highlight w:val="none"/>
                <w:u w:val="none"/>
                <w:lang w:val="en-US" w:eastAsia="zh-CN"/>
              </w:rPr>
              <w:t>焙炒咖啡豆</w:t>
            </w:r>
          </w:p>
        </w:tc>
        <w:tc>
          <w:tcPr>
            <w:tcW w:w="2963" w:type="dxa"/>
            <w:tcBorders>
              <w:top w:val="single" w:color="000000" w:sz="4" w:space="0"/>
              <w:left w:val="single" w:color="000000" w:sz="4" w:space="0"/>
              <w:bottom w:val="single" w:color="000000" w:sz="4" w:space="0"/>
              <w:right w:val="single" w:color="000000" w:sz="4" w:space="0"/>
            </w:tcBorders>
            <w:noWrap w:val="0"/>
            <w:vAlign w:val="center"/>
          </w:tcPr>
          <w:p w14:paraId="304603F3">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lang w:val="en-US"/>
              </w:rPr>
            </w:pPr>
            <w:r>
              <w:rPr>
                <w:rFonts w:hint="eastAsia" w:ascii="仿宋" w:hAnsi="仿宋" w:eastAsia="仿宋" w:cs="仿宋"/>
                <w:i w:val="0"/>
                <w:iCs w:val="0"/>
                <w:color w:val="auto"/>
                <w:kern w:val="0"/>
                <w:sz w:val="28"/>
                <w:szCs w:val="28"/>
                <w:highlight w:val="none"/>
                <w:u w:val="none"/>
                <w:lang w:val="en-US" w:eastAsia="zh-CN" w:bidi="ar"/>
              </w:rPr>
              <w:t>烘焙度：中烘，485g/袋</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14:paraId="4BE87FAC">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eastAsia="zh-CN"/>
              </w:rPr>
            </w:pPr>
            <w:r>
              <w:rPr>
                <w:rFonts w:hint="eastAsia" w:ascii="仿宋" w:hAnsi="仿宋" w:eastAsia="仿宋" w:cs="仿宋"/>
                <w:i w:val="0"/>
                <w:iCs w:val="0"/>
                <w:color w:val="auto"/>
                <w:sz w:val="28"/>
                <w:szCs w:val="28"/>
                <w:highlight w:val="none"/>
                <w:u w:val="none"/>
                <w:lang w:val="en-US" w:eastAsia="zh-CN"/>
              </w:rPr>
              <w:t>袋</w:t>
            </w:r>
          </w:p>
        </w:tc>
        <w:tc>
          <w:tcPr>
            <w:tcW w:w="1845" w:type="dxa"/>
            <w:tcBorders>
              <w:top w:val="single" w:color="000000" w:sz="4" w:space="0"/>
              <w:left w:val="single" w:color="000000" w:sz="4" w:space="0"/>
              <w:bottom w:val="single" w:color="000000" w:sz="4" w:space="0"/>
              <w:right w:val="single" w:color="000000" w:sz="4" w:space="0"/>
            </w:tcBorders>
            <w:noWrap/>
            <w:vAlign w:val="center"/>
          </w:tcPr>
          <w:p w14:paraId="5CC7BC9A">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eastAsia="zh-CN"/>
              </w:rPr>
            </w:pPr>
            <w:r>
              <w:rPr>
                <w:rFonts w:hint="eastAsia" w:ascii="仿宋" w:hAnsi="仿宋" w:eastAsia="仿宋" w:cs="仿宋"/>
                <w:i w:val="0"/>
                <w:iCs w:val="0"/>
                <w:color w:val="auto"/>
                <w:sz w:val="28"/>
                <w:szCs w:val="28"/>
                <w:highlight w:val="none"/>
                <w:u w:val="none"/>
                <w:lang w:val="en-US" w:eastAsia="zh-CN"/>
              </w:rPr>
              <w:t>1500</w:t>
            </w:r>
          </w:p>
        </w:tc>
      </w:tr>
      <w:tr w14:paraId="65096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87" w:type="dxa"/>
            <w:tcBorders>
              <w:top w:val="single" w:color="000000" w:sz="4" w:space="0"/>
              <w:left w:val="single" w:color="000000" w:sz="4" w:space="0"/>
              <w:bottom w:val="single" w:color="000000" w:sz="4" w:space="0"/>
              <w:right w:val="single" w:color="000000" w:sz="4" w:space="0"/>
            </w:tcBorders>
            <w:noWrap/>
            <w:vAlign w:val="center"/>
          </w:tcPr>
          <w:p w14:paraId="5B24CABC">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2</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3DCBAE8C">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lang w:val="en-US" w:eastAsia="zh-CN"/>
              </w:rPr>
            </w:pPr>
            <w:r>
              <w:rPr>
                <w:rFonts w:hint="eastAsia" w:ascii="仿宋" w:hAnsi="仿宋" w:eastAsia="仿宋" w:cs="仿宋"/>
                <w:i w:val="0"/>
                <w:iCs w:val="0"/>
                <w:color w:val="auto"/>
                <w:sz w:val="28"/>
                <w:szCs w:val="28"/>
                <w:highlight w:val="none"/>
                <w:u w:val="none"/>
                <w:lang w:val="en-US" w:eastAsia="zh-CN"/>
              </w:rPr>
              <w:t>咖啡大师燕麦奶</w:t>
            </w:r>
          </w:p>
        </w:tc>
        <w:tc>
          <w:tcPr>
            <w:tcW w:w="2963" w:type="dxa"/>
            <w:tcBorders>
              <w:top w:val="single" w:color="000000" w:sz="4" w:space="0"/>
              <w:left w:val="single" w:color="000000" w:sz="4" w:space="0"/>
              <w:bottom w:val="single" w:color="000000" w:sz="4" w:space="0"/>
              <w:right w:val="single" w:color="000000" w:sz="4" w:space="0"/>
            </w:tcBorders>
            <w:noWrap w:val="0"/>
            <w:vAlign w:val="center"/>
          </w:tcPr>
          <w:p w14:paraId="64FDB92A">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lang w:val="en-US" w:eastAsia="zh-CN"/>
              </w:rPr>
            </w:pPr>
            <w:r>
              <w:rPr>
                <w:rFonts w:hint="eastAsia" w:ascii="仿宋" w:hAnsi="仿宋" w:eastAsia="仿宋" w:cs="仿宋"/>
                <w:i w:val="0"/>
                <w:iCs w:val="0"/>
                <w:color w:val="auto"/>
                <w:sz w:val="28"/>
                <w:szCs w:val="28"/>
                <w:highlight w:val="none"/>
                <w:u w:val="none"/>
                <w:lang w:val="en-US" w:eastAsia="zh-CN"/>
              </w:rPr>
              <w:t>1L/盒</w:t>
            </w:r>
          </w:p>
        </w:tc>
        <w:tc>
          <w:tcPr>
            <w:tcW w:w="1613" w:type="dxa"/>
            <w:tcBorders>
              <w:top w:val="single" w:color="000000" w:sz="4" w:space="0"/>
              <w:left w:val="single" w:color="000000" w:sz="4" w:space="0"/>
              <w:bottom w:val="single" w:color="000000" w:sz="4" w:space="0"/>
              <w:right w:val="single" w:color="000000" w:sz="4" w:space="0"/>
            </w:tcBorders>
            <w:noWrap/>
            <w:vAlign w:val="center"/>
          </w:tcPr>
          <w:p w14:paraId="0A40C801">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eastAsia="zh-CN"/>
              </w:rPr>
            </w:pPr>
            <w:r>
              <w:rPr>
                <w:rFonts w:hint="eastAsia" w:ascii="仿宋" w:hAnsi="仿宋" w:eastAsia="仿宋" w:cs="仿宋"/>
                <w:i w:val="0"/>
                <w:iCs w:val="0"/>
                <w:color w:val="auto"/>
                <w:sz w:val="28"/>
                <w:szCs w:val="28"/>
                <w:highlight w:val="none"/>
                <w:u w:val="none"/>
                <w:lang w:val="en-US" w:eastAsia="zh-CN"/>
              </w:rPr>
              <w:t>件</w:t>
            </w:r>
          </w:p>
        </w:tc>
        <w:tc>
          <w:tcPr>
            <w:tcW w:w="1845" w:type="dxa"/>
            <w:tcBorders>
              <w:top w:val="single" w:color="000000" w:sz="4" w:space="0"/>
              <w:left w:val="single" w:color="000000" w:sz="4" w:space="0"/>
              <w:bottom w:val="single" w:color="000000" w:sz="4" w:space="0"/>
              <w:right w:val="single" w:color="000000" w:sz="4" w:space="0"/>
            </w:tcBorders>
            <w:noWrap/>
            <w:vAlign w:val="center"/>
          </w:tcPr>
          <w:p w14:paraId="37953CE7">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eastAsia="zh-CN"/>
              </w:rPr>
            </w:pPr>
            <w:r>
              <w:rPr>
                <w:rFonts w:hint="eastAsia" w:ascii="仿宋" w:hAnsi="仿宋" w:eastAsia="仿宋" w:cs="仿宋"/>
                <w:i w:val="0"/>
                <w:iCs w:val="0"/>
                <w:color w:val="auto"/>
                <w:sz w:val="28"/>
                <w:szCs w:val="28"/>
                <w:highlight w:val="none"/>
                <w:u w:val="none"/>
                <w:lang w:val="en-US" w:eastAsia="zh-CN"/>
              </w:rPr>
              <w:t>800</w:t>
            </w:r>
          </w:p>
        </w:tc>
      </w:tr>
      <w:tr w14:paraId="7B30B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87" w:type="dxa"/>
            <w:tcBorders>
              <w:top w:val="single" w:color="000000" w:sz="4" w:space="0"/>
              <w:left w:val="single" w:color="000000" w:sz="4" w:space="0"/>
              <w:bottom w:val="single" w:color="000000" w:sz="4" w:space="0"/>
              <w:right w:val="single" w:color="000000" w:sz="4" w:space="0"/>
            </w:tcBorders>
            <w:noWrap/>
            <w:vAlign w:val="center"/>
          </w:tcPr>
          <w:p w14:paraId="263D7068">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3</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4281AAA7">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lang w:val="en-US" w:eastAsia="zh-CN"/>
              </w:rPr>
            </w:pPr>
            <w:r>
              <w:rPr>
                <w:rFonts w:hint="eastAsia" w:ascii="仿宋" w:hAnsi="仿宋" w:eastAsia="仿宋" w:cs="仿宋"/>
                <w:i w:val="0"/>
                <w:iCs w:val="0"/>
                <w:color w:val="auto"/>
                <w:sz w:val="28"/>
                <w:szCs w:val="28"/>
                <w:highlight w:val="none"/>
                <w:u w:val="none"/>
                <w:lang w:val="en-US" w:eastAsia="zh-CN"/>
              </w:rPr>
              <w:t>凤梨果浆</w:t>
            </w:r>
          </w:p>
        </w:tc>
        <w:tc>
          <w:tcPr>
            <w:tcW w:w="2963" w:type="dxa"/>
            <w:tcBorders>
              <w:top w:val="single" w:color="000000" w:sz="4" w:space="0"/>
              <w:left w:val="single" w:color="000000" w:sz="4" w:space="0"/>
              <w:bottom w:val="single" w:color="000000" w:sz="4" w:space="0"/>
              <w:right w:val="single" w:color="000000" w:sz="4" w:space="0"/>
            </w:tcBorders>
            <w:noWrap w:val="0"/>
            <w:vAlign w:val="center"/>
          </w:tcPr>
          <w:p w14:paraId="5B5F07ED">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lang w:val="en-US"/>
              </w:rPr>
            </w:pPr>
            <w:r>
              <w:rPr>
                <w:rFonts w:hint="eastAsia" w:ascii="仿宋" w:hAnsi="仿宋" w:eastAsia="仿宋" w:cs="仿宋"/>
                <w:i w:val="0"/>
                <w:iCs w:val="0"/>
                <w:color w:val="auto"/>
                <w:kern w:val="0"/>
                <w:sz w:val="28"/>
                <w:szCs w:val="28"/>
                <w:highlight w:val="none"/>
                <w:u w:val="none"/>
                <w:lang w:val="en-US" w:eastAsia="zh-CN" w:bidi="ar"/>
              </w:rPr>
              <w:t>1.2kg/瓶</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14:paraId="3A9C2AC3">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eastAsia="zh-CN"/>
              </w:rPr>
            </w:pPr>
            <w:r>
              <w:rPr>
                <w:rFonts w:hint="eastAsia" w:ascii="仿宋" w:hAnsi="仿宋" w:eastAsia="仿宋" w:cs="仿宋"/>
                <w:i w:val="0"/>
                <w:iCs w:val="0"/>
                <w:color w:val="auto"/>
                <w:sz w:val="28"/>
                <w:szCs w:val="28"/>
                <w:highlight w:val="none"/>
                <w:u w:val="none"/>
                <w:lang w:val="en-US" w:eastAsia="zh-CN"/>
              </w:rPr>
              <w:t>瓶</w:t>
            </w:r>
          </w:p>
        </w:tc>
        <w:tc>
          <w:tcPr>
            <w:tcW w:w="1845" w:type="dxa"/>
            <w:tcBorders>
              <w:top w:val="single" w:color="000000" w:sz="4" w:space="0"/>
              <w:left w:val="single" w:color="000000" w:sz="4" w:space="0"/>
              <w:bottom w:val="single" w:color="000000" w:sz="4" w:space="0"/>
              <w:right w:val="single" w:color="000000" w:sz="4" w:space="0"/>
            </w:tcBorders>
            <w:noWrap/>
            <w:vAlign w:val="center"/>
          </w:tcPr>
          <w:p w14:paraId="79E7FE39">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eastAsia="zh-CN"/>
              </w:rPr>
            </w:pPr>
            <w:r>
              <w:rPr>
                <w:rFonts w:hint="eastAsia" w:ascii="仿宋" w:hAnsi="仿宋" w:eastAsia="仿宋" w:cs="仿宋"/>
                <w:i w:val="0"/>
                <w:iCs w:val="0"/>
                <w:color w:val="auto"/>
                <w:sz w:val="28"/>
                <w:szCs w:val="28"/>
                <w:highlight w:val="none"/>
                <w:u w:val="none"/>
                <w:lang w:val="en-US" w:eastAsia="zh-CN"/>
              </w:rPr>
              <w:t>360</w:t>
            </w:r>
          </w:p>
        </w:tc>
      </w:tr>
      <w:tr w14:paraId="6BB8D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887" w:type="dxa"/>
            <w:tcBorders>
              <w:top w:val="single" w:color="000000" w:sz="4" w:space="0"/>
              <w:left w:val="single" w:color="000000" w:sz="4" w:space="0"/>
              <w:bottom w:val="single" w:color="000000" w:sz="4" w:space="0"/>
              <w:right w:val="single" w:color="000000" w:sz="4" w:space="0"/>
            </w:tcBorders>
            <w:noWrap/>
            <w:vAlign w:val="center"/>
          </w:tcPr>
          <w:p w14:paraId="5D0A0CF7">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4</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52C6C427">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sz w:val="28"/>
                <w:szCs w:val="28"/>
                <w:highlight w:val="none"/>
                <w:u w:val="none"/>
                <w:lang w:val="en-US" w:eastAsia="zh-CN"/>
              </w:rPr>
              <w:t>柳橙果浆</w:t>
            </w:r>
          </w:p>
        </w:tc>
        <w:tc>
          <w:tcPr>
            <w:tcW w:w="2963" w:type="dxa"/>
            <w:tcBorders>
              <w:top w:val="single" w:color="000000" w:sz="4" w:space="0"/>
              <w:left w:val="single" w:color="000000" w:sz="4" w:space="0"/>
              <w:bottom w:val="single" w:color="000000" w:sz="4" w:space="0"/>
              <w:right w:val="single" w:color="000000" w:sz="4" w:space="0"/>
            </w:tcBorders>
            <w:noWrap w:val="0"/>
            <w:vAlign w:val="center"/>
          </w:tcPr>
          <w:p w14:paraId="57B9C4A7">
            <w:pPr>
              <w:keepNext w:val="0"/>
              <w:keepLines w:val="0"/>
              <w:widowControl/>
              <w:suppressLineNumbers w:val="0"/>
              <w:jc w:val="left"/>
              <w:textAlignment w:val="center"/>
              <w:rPr>
                <w:rFonts w:hint="eastAsia" w:ascii="仿宋" w:hAnsi="仿宋" w:eastAsia="仿宋" w:cs="仿宋"/>
                <w:i w:val="0"/>
                <w:iCs w:val="0"/>
                <w:color w:val="auto"/>
                <w:sz w:val="28"/>
                <w:szCs w:val="28"/>
                <w:highlight w:val="none"/>
                <w:u w:val="none"/>
                <w:lang w:val="en-US" w:eastAsia="zh-CN"/>
              </w:rPr>
            </w:pPr>
            <w:r>
              <w:rPr>
                <w:rFonts w:hint="eastAsia" w:ascii="仿宋" w:hAnsi="仿宋" w:eastAsia="仿宋" w:cs="仿宋"/>
                <w:i w:val="0"/>
                <w:iCs w:val="0"/>
                <w:color w:val="auto"/>
                <w:sz w:val="28"/>
                <w:szCs w:val="28"/>
                <w:highlight w:val="none"/>
                <w:u w:val="none"/>
                <w:lang w:val="en-US" w:eastAsia="zh-CN"/>
              </w:rPr>
              <w:t>1.3kg/瓶</w:t>
            </w:r>
          </w:p>
        </w:tc>
        <w:tc>
          <w:tcPr>
            <w:tcW w:w="1613" w:type="dxa"/>
            <w:tcBorders>
              <w:top w:val="single" w:color="000000" w:sz="4" w:space="0"/>
              <w:left w:val="single" w:color="000000" w:sz="4" w:space="0"/>
              <w:bottom w:val="single" w:color="000000" w:sz="4" w:space="0"/>
              <w:right w:val="single" w:color="000000" w:sz="4" w:space="0"/>
            </w:tcBorders>
            <w:noWrap/>
            <w:vAlign w:val="center"/>
          </w:tcPr>
          <w:p w14:paraId="0DD813BD">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eastAsia="zh-CN"/>
              </w:rPr>
            </w:pPr>
            <w:r>
              <w:rPr>
                <w:rFonts w:hint="eastAsia" w:ascii="仿宋" w:hAnsi="仿宋" w:eastAsia="仿宋" w:cs="仿宋"/>
                <w:i w:val="0"/>
                <w:iCs w:val="0"/>
                <w:color w:val="auto"/>
                <w:sz w:val="28"/>
                <w:szCs w:val="28"/>
                <w:highlight w:val="none"/>
                <w:u w:val="none"/>
                <w:lang w:val="en-US" w:eastAsia="zh-CN"/>
              </w:rPr>
              <w:t>瓶</w:t>
            </w:r>
          </w:p>
        </w:tc>
        <w:tc>
          <w:tcPr>
            <w:tcW w:w="1845" w:type="dxa"/>
            <w:tcBorders>
              <w:top w:val="single" w:color="000000" w:sz="4" w:space="0"/>
              <w:left w:val="single" w:color="000000" w:sz="4" w:space="0"/>
              <w:bottom w:val="single" w:color="000000" w:sz="4" w:space="0"/>
              <w:right w:val="single" w:color="000000" w:sz="4" w:space="0"/>
            </w:tcBorders>
            <w:noWrap/>
            <w:vAlign w:val="center"/>
          </w:tcPr>
          <w:p w14:paraId="444F5635">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eastAsia="zh-CN"/>
              </w:rPr>
            </w:pPr>
            <w:r>
              <w:rPr>
                <w:rFonts w:hint="eastAsia" w:ascii="仿宋" w:hAnsi="仿宋" w:eastAsia="仿宋" w:cs="仿宋"/>
                <w:i w:val="0"/>
                <w:iCs w:val="0"/>
                <w:color w:val="auto"/>
                <w:sz w:val="28"/>
                <w:szCs w:val="28"/>
                <w:highlight w:val="none"/>
                <w:u w:val="none"/>
                <w:lang w:val="en-US" w:eastAsia="zh-CN"/>
              </w:rPr>
              <w:t>360</w:t>
            </w:r>
          </w:p>
        </w:tc>
      </w:tr>
      <w:tr w14:paraId="5D216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87" w:type="dxa"/>
            <w:tcBorders>
              <w:top w:val="single" w:color="000000" w:sz="4" w:space="0"/>
              <w:left w:val="single" w:color="000000" w:sz="4" w:space="0"/>
              <w:bottom w:val="single" w:color="000000" w:sz="4" w:space="0"/>
              <w:right w:val="single" w:color="000000" w:sz="4" w:space="0"/>
            </w:tcBorders>
            <w:noWrap/>
            <w:vAlign w:val="center"/>
          </w:tcPr>
          <w:p w14:paraId="40D36F70">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5</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6BC50F07">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蔗糖风味糖浆</w:t>
            </w:r>
          </w:p>
        </w:tc>
        <w:tc>
          <w:tcPr>
            <w:tcW w:w="2963" w:type="dxa"/>
            <w:tcBorders>
              <w:top w:val="single" w:color="000000" w:sz="4" w:space="0"/>
              <w:left w:val="single" w:color="000000" w:sz="4" w:space="0"/>
              <w:bottom w:val="single" w:color="000000" w:sz="4" w:space="0"/>
              <w:right w:val="single" w:color="000000" w:sz="4" w:space="0"/>
            </w:tcBorders>
            <w:noWrap w:val="0"/>
            <w:vAlign w:val="center"/>
          </w:tcPr>
          <w:p w14:paraId="5F171875">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6.5kg/瓶</w:t>
            </w:r>
          </w:p>
        </w:tc>
        <w:tc>
          <w:tcPr>
            <w:tcW w:w="1613" w:type="dxa"/>
            <w:tcBorders>
              <w:top w:val="single" w:color="000000" w:sz="4" w:space="0"/>
              <w:left w:val="single" w:color="000000" w:sz="4" w:space="0"/>
              <w:bottom w:val="single" w:color="000000" w:sz="4" w:space="0"/>
              <w:right w:val="single" w:color="000000" w:sz="4" w:space="0"/>
            </w:tcBorders>
            <w:noWrap/>
            <w:vAlign w:val="center"/>
          </w:tcPr>
          <w:p w14:paraId="2F8809BF">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瓶</w:t>
            </w:r>
          </w:p>
        </w:tc>
        <w:tc>
          <w:tcPr>
            <w:tcW w:w="1845" w:type="dxa"/>
            <w:tcBorders>
              <w:top w:val="single" w:color="000000" w:sz="4" w:space="0"/>
              <w:left w:val="single" w:color="000000" w:sz="4" w:space="0"/>
              <w:bottom w:val="single" w:color="000000" w:sz="4" w:space="0"/>
              <w:right w:val="single" w:color="000000" w:sz="4" w:space="0"/>
            </w:tcBorders>
            <w:noWrap/>
            <w:vAlign w:val="center"/>
          </w:tcPr>
          <w:p w14:paraId="7EA308B8">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30</w:t>
            </w:r>
          </w:p>
        </w:tc>
      </w:tr>
    </w:tbl>
    <w:p w14:paraId="65D615DB">
      <w:pPr>
        <w:pStyle w:val="8"/>
        <w:spacing w:line="360" w:lineRule="auto"/>
        <w:ind w:firstLine="560" w:firstLineChars="200"/>
        <w:rPr>
          <w:rFonts w:hint="eastAsia" w:ascii="仿宋" w:hAnsi="仿宋" w:eastAsia="仿宋" w:cs="仿宋"/>
          <w:b w:val="0"/>
          <w:bCs/>
          <w:i w:val="0"/>
          <w:color w:val="000000"/>
          <w:kern w:val="0"/>
          <w:sz w:val="28"/>
          <w:szCs w:val="28"/>
          <w:u w:val="none"/>
          <w:lang w:val="en-US" w:eastAsia="zh-CN" w:bidi="ar"/>
        </w:rPr>
      </w:pPr>
      <w:r>
        <w:rPr>
          <w:rFonts w:hint="eastAsia" w:ascii="仿宋" w:hAnsi="仿宋" w:eastAsia="仿宋" w:cs="仿宋"/>
          <w:b w:val="0"/>
          <w:bCs/>
          <w:i w:val="0"/>
          <w:color w:val="000000"/>
          <w:kern w:val="0"/>
          <w:sz w:val="28"/>
          <w:szCs w:val="28"/>
          <w:u w:val="none"/>
          <w:lang w:val="en-US" w:eastAsia="zh-CN" w:bidi="ar"/>
        </w:rPr>
        <w:t>注：1、以上清单为医院常用采购用品，以每月实际使用数量结算。</w:t>
      </w:r>
    </w:p>
    <w:p w14:paraId="30BA95F3">
      <w:pPr>
        <w:spacing w:line="360" w:lineRule="auto"/>
        <w:jc w:val="left"/>
        <w:rPr>
          <w:rFonts w:hint="eastAsia" w:ascii="仿宋" w:hAnsi="仿宋" w:eastAsia="仿宋" w:cs="仿宋"/>
          <w:b/>
          <w:bCs/>
          <w:color w:val="auto"/>
          <w:sz w:val="28"/>
          <w:szCs w:val="28"/>
          <w:highlight w:val="none"/>
        </w:rPr>
      </w:pPr>
      <w:r>
        <w:rPr>
          <w:rFonts w:hint="eastAsia" w:ascii="仿宋" w:hAnsi="仿宋" w:eastAsia="仿宋" w:cs="仿宋"/>
          <w:b w:val="0"/>
          <w:bCs/>
          <w:i w:val="0"/>
          <w:color w:val="000000"/>
          <w:kern w:val="0"/>
          <w:sz w:val="28"/>
          <w:szCs w:val="28"/>
          <w:u w:val="none"/>
          <w:lang w:val="en-US" w:eastAsia="zh-CN" w:bidi="ar"/>
        </w:rPr>
        <w:t xml:space="preserve"> 2、在本项目服务期限内，采购人应实际工作需要，需采购清单外的用品，结算单价按大型超市市场平均价作为参考价。</w:t>
      </w:r>
    </w:p>
    <w:p w14:paraId="531295ED">
      <w:pPr>
        <w:spacing w:line="360" w:lineRule="auto"/>
        <w:jc w:val="left"/>
        <w:rPr>
          <w:rFonts w:hint="eastAsia" w:ascii="仿宋" w:hAnsi="仿宋" w:eastAsia="仿宋" w:cs="仿宋"/>
          <w:b/>
          <w:color w:val="auto"/>
          <w:kern w:val="2"/>
          <w:sz w:val="32"/>
          <w:szCs w:val="32"/>
          <w:lang w:val="en-US" w:eastAsia="zh-CN" w:bidi="ar-SA"/>
        </w:rPr>
      </w:pPr>
      <w:r>
        <w:rPr>
          <w:rFonts w:hint="eastAsia" w:ascii="仿宋" w:hAnsi="仿宋" w:eastAsia="仿宋" w:cs="仿宋"/>
          <w:b/>
          <w:bCs/>
          <w:color w:val="auto"/>
          <w:sz w:val="32"/>
          <w:szCs w:val="32"/>
          <w:highlight w:val="none"/>
        </w:rPr>
        <w:t>★</w:t>
      </w:r>
      <w:r>
        <w:rPr>
          <w:rFonts w:hint="eastAsia" w:ascii="仿宋" w:hAnsi="仿宋" w:eastAsia="仿宋" w:cs="仿宋"/>
          <w:b/>
          <w:bCs/>
          <w:color w:val="auto"/>
          <w:sz w:val="32"/>
          <w:szCs w:val="32"/>
          <w:highlight w:val="none"/>
          <w:lang w:val="en-US" w:eastAsia="zh-CN"/>
        </w:rPr>
        <w:t>三</w:t>
      </w:r>
      <w:r>
        <w:rPr>
          <w:rFonts w:hint="eastAsia" w:ascii="仿宋" w:hAnsi="仿宋" w:eastAsia="仿宋" w:cs="仿宋"/>
          <w:b/>
          <w:color w:val="auto"/>
          <w:kern w:val="2"/>
          <w:sz w:val="32"/>
          <w:szCs w:val="32"/>
          <w:lang w:val="en-US" w:eastAsia="zh-CN" w:bidi="ar-SA"/>
        </w:rPr>
        <w:t>、商务及其他要求</w:t>
      </w:r>
    </w:p>
    <w:bookmarkEnd w:id="0"/>
    <w:bookmarkEnd w:id="1"/>
    <w:p w14:paraId="70A87E4A">
      <w:pPr>
        <w:pStyle w:val="8"/>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b w:val="0"/>
          <w:bCs/>
          <w:i w:val="0"/>
          <w:color w:val="000000"/>
          <w:kern w:val="0"/>
          <w:sz w:val="28"/>
          <w:szCs w:val="28"/>
          <w:highlight w:val="none"/>
          <w:u w:val="none"/>
          <w:lang w:val="en-US" w:eastAsia="zh-CN" w:bidi="ar"/>
        </w:rPr>
        <w:t>1、本次采购物资无具体品牌指定，要求</w:t>
      </w:r>
      <w:r>
        <w:rPr>
          <w:rFonts w:hint="eastAsia" w:ascii="仿宋" w:hAnsi="仿宋" w:eastAsia="仿宋" w:cs="仿宋"/>
          <w:color w:val="000000"/>
          <w:sz w:val="28"/>
          <w:szCs w:val="28"/>
          <w:highlight w:val="none"/>
        </w:rPr>
        <w:t>投标人配送的所有产品须符合《中华人民共和国食品安全法》《食品安全国家标准》等国家有关法律法规及相关标准与要求，国家有出台新的更高标准的，以新的更高标准为准。</w:t>
      </w:r>
    </w:p>
    <w:p w14:paraId="5CFDD12B">
      <w:pPr>
        <w:pStyle w:val="22"/>
        <w:ind w:firstLine="280" w:firstLineChars="1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2、供应商</w:t>
      </w:r>
      <w:r>
        <w:rPr>
          <w:rFonts w:hint="eastAsia" w:ascii="仿宋" w:hAnsi="仿宋" w:eastAsia="仿宋" w:cs="仿宋"/>
          <w:color w:val="000000"/>
          <w:sz w:val="28"/>
          <w:szCs w:val="28"/>
          <w:highlight w:val="none"/>
        </w:rPr>
        <w:t>保证配送产品的质量、卫生和安全，承诺若发生因配送的产品引发的食品安全事故，除投标人承担全部责任经济和法律责任外，并取消其配送服务资格（提供承诺函加盖投标人公章，否则作无效投标处理）。</w:t>
      </w:r>
    </w:p>
    <w:p w14:paraId="292D27CC">
      <w:pPr>
        <w:pStyle w:val="22"/>
        <w:ind w:firstLine="280" w:firstLineChars="100"/>
        <w:jc w:val="left"/>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3、供应商须承诺，若中标，配送供应的食品（包括原料、辅料、食品包装材料）符合相关行业标准和国家标准，配置车辆、人员均符合相关要求。（提供承诺函，格式自拟）。</w:t>
      </w:r>
    </w:p>
    <w:p w14:paraId="58598951">
      <w:pPr>
        <w:pStyle w:val="22"/>
        <w:ind w:firstLine="280" w:firstLineChars="100"/>
        <w:jc w:val="left"/>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4、供应商必须自行提供配送服务，具备符合行业规定及满足配送需要的生产、制作、仓储、交通运输等设施设备，确保食品的质量、安全储存和安全运输。不得将配送项目进行任何方式的分包、转包；一旦分包、转包则视为自动放弃配送资格，所签合同自动终止。合同自动终止的，供应商无权向采购人主张任何形式的法律责任，且采购人有权依照向供应商主张违约责任。</w:t>
      </w:r>
    </w:p>
    <w:p w14:paraId="590F2151">
      <w:pPr>
        <w:pStyle w:val="8"/>
        <w:spacing w:line="360" w:lineRule="auto"/>
        <w:ind w:firstLine="560" w:firstLineChars="200"/>
        <w:rPr>
          <w:rFonts w:hint="eastAsia" w:ascii="仿宋" w:hAnsi="仿宋" w:eastAsia="仿宋" w:cs="仿宋"/>
          <w:b w:val="0"/>
          <w:bCs/>
          <w:i w:val="0"/>
          <w:color w:val="000000"/>
          <w:kern w:val="0"/>
          <w:sz w:val="28"/>
          <w:szCs w:val="28"/>
          <w:u w:val="none"/>
          <w:lang w:val="en-US" w:eastAsia="zh-CN" w:bidi="ar"/>
        </w:rPr>
      </w:pPr>
      <w:r>
        <w:rPr>
          <w:rFonts w:hint="eastAsia" w:ascii="仿宋" w:hAnsi="仿宋" w:eastAsia="仿宋" w:cs="仿宋"/>
          <w:b w:val="0"/>
          <w:bCs/>
          <w:i w:val="0"/>
          <w:color w:val="000000"/>
          <w:kern w:val="0"/>
          <w:sz w:val="28"/>
          <w:szCs w:val="28"/>
          <w:u w:val="none"/>
          <w:lang w:val="en-US" w:eastAsia="zh-CN" w:bidi="ar"/>
        </w:rPr>
        <w:t>5、本次采购为医院全年计划采购量，中标供应商需根据采购人实际需求种类、数量分批次按需供货，而非一次性供货；供应商必须按采购人要求提供送货清单，送货清单与配送货物一致，同时必须盖有供应商的有效公章。</w:t>
      </w:r>
    </w:p>
    <w:p w14:paraId="2EBE8E5D">
      <w:pPr>
        <w:spacing w:line="360" w:lineRule="auto"/>
        <w:ind w:firstLine="560" w:firstLineChars="200"/>
        <w:rPr>
          <w:rFonts w:hint="eastAsia" w:ascii="仿宋" w:hAnsi="仿宋" w:eastAsia="仿宋" w:cs="仿宋"/>
          <w:b w:val="0"/>
          <w:bCs/>
          <w:i w:val="0"/>
          <w:color w:val="000000"/>
          <w:kern w:val="0"/>
          <w:sz w:val="28"/>
          <w:szCs w:val="28"/>
          <w:u w:val="none"/>
          <w:lang w:val="en-US" w:eastAsia="zh-CN" w:bidi="ar"/>
        </w:rPr>
      </w:pPr>
      <w:r>
        <w:rPr>
          <w:rFonts w:hint="eastAsia" w:ascii="仿宋" w:hAnsi="仿宋" w:eastAsia="仿宋" w:cs="仿宋"/>
          <w:b w:val="0"/>
          <w:bCs/>
          <w:i w:val="0"/>
          <w:color w:val="000000"/>
          <w:kern w:val="0"/>
          <w:sz w:val="28"/>
          <w:szCs w:val="28"/>
          <w:u w:val="none"/>
          <w:lang w:val="en-US" w:eastAsia="zh-CN" w:bidi="ar"/>
        </w:rPr>
        <w:t>6、中标供应商要保证所供产品包装完好，无瑕疵、次品，供货时需提供详细送货清单，并与采购方经办人员当面清点产品种类、数量后双方签字确认，验收合格后方可作为结算依据。</w:t>
      </w:r>
    </w:p>
    <w:p w14:paraId="374FEAC5">
      <w:pPr>
        <w:spacing w:line="360" w:lineRule="auto"/>
        <w:ind w:firstLine="560" w:firstLineChars="200"/>
        <w:rPr>
          <w:rFonts w:hint="eastAsia" w:ascii="仿宋" w:hAnsi="仿宋" w:eastAsia="仿宋" w:cs="仿宋"/>
          <w:b w:val="0"/>
          <w:bCs/>
          <w:i w:val="0"/>
          <w:color w:val="000000"/>
          <w:kern w:val="0"/>
          <w:sz w:val="28"/>
          <w:szCs w:val="28"/>
          <w:u w:val="none"/>
          <w:lang w:val="en-US" w:eastAsia="zh-CN" w:bidi="ar"/>
        </w:rPr>
      </w:pPr>
      <w:r>
        <w:rPr>
          <w:rFonts w:hint="eastAsia" w:ascii="仿宋" w:hAnsi="仿宋" w:eastAsia="仿宋" w:cs="仿宋"/>
          <w:b w:val="0"/>
          <w:bCs/>
          <w:i w:val="0"/>
          <w:color w:val="000000"/>
          <w:kern w:val="0"/>
          <w:sz w:val="28"/>
          <w:szCs w:val="28"/>
          <w:u w:val="none"/>
          <w:lang w:val="en-US" w:eastAsia="zh-CN" w:bidi="ar"/>
        </w:rPr>
        <w:t>6、出现无生产厂家、无生产日期、无批准文号、变异变质、过期食品、超过采购人通知送货时间3天及以上未送货等情节严重的，采购人有权单方面解除合同，并向供应商追究对应的违约责任。</w:t>
      </w:r>
    </w:p>
    <w:p w14:paraId="1D1EC9FD">
      <w:pPr>
        <w:spacing w:line="360" w:lineRule="auto"/>
        <w:ind w:firstLine="560" w:firstLineChars="200"/>
        <w:rPr>
          <w:rFonts w:hint="eastAsia" w:ascii="仿宋" w:hAnsi="仿宋" w:eastAsia="仿宋" w:cs="仿宋"/>
          <w:b w:val="0"/>
          <w:bCs/>
          <w:i w:val="0"/>
          <w:color w:val="000000"/>
          <w:kern w:val="0"/>
          <w:sz w:val="28"/>
          <w:szCs w:val="28"/>
          <w:u w:val="none"/>
          <w:lang w:val="en-US" w:eastAsia="zh-CN" w:bidi="ar"/>
        </w:rPr>
      </w:pPr>
      <w:r>
        <w:rPr>
          <w:rFonts w:hint="eastAsia" w:ascii="仿宋" w:hAnsi="仿宋" w:eastAsia="仿宋" w:cs="仿宋"/>
          <w:b w:val="0"/>
          <w:bCs/>
          <w:i w:val="0"/>
          <w:color w:val="000000"/>
          <w:kern w:val="0"/>
          <w:sz w:val="28"/>
          <w:szCs w:val="28"/>
          <w:u w:val="none"/>
          <w:lang w:val="en-US" w:eastAsia="zh-CN" w:bidi="ar"/>
        </w:rPr>
        <w:t>7、供应商须按照国家食品相关标准、强制性规定、行业标准、地方标准或者规范提供真实、准确的食品配料、成分信息，不得虚标、错标。不得在外包装进行虚假或误导性的描述，描述内容须与食品实际情况相符，保障消费者的知情权和选择权。</w:t>
      </w:r>
    </w:p>
    <w:p w14:paraId="4768222E">
      <w:pPr>
        <w:spacing w:line="360" w:lineRule="auto"/>
        <w:ind w:firstLine="560" w:firstLineChars="200"/>
        <w:rPr>
          <w:rFonts w:hint="default" w:ascii="仿宋" w:hAnsi="仿宋" w:eastAsia="仿宋" w:cs="仿宋"/>
          <w:b w:val="0"/>
          <w:bCs/>
          <w:i w:val="0"/>
          <w:color w:val="000000"/>
          <w:kern w:val="0"/>
          <w:sz w:val="28"/>
          <w:szCs w:val="28"/>
          <w:u w:val="none"/>
          <w:lang w:val="en-US" w:eastAsia="zh-CN" w:bidi="ar"/>
        </w:rPr>
      </w:pPr>
      <w:r>
        <w:rPr>
          <w:rFonts w:hint="eastAsia" w:ascii="仿宋" w:hAnsi="仿宋" w:eastAsia="仿宋" w:cs="仿宋"/>
          <w:b w:val="0"/>
          <w:bCs/>
          <w:i w:val="0"/>
          <w:color w:val="000000"/>
          <w:kern w:val="0"/>
          <w:sz w:val="28"/>
          <w:szCs w:val="28"/>
          <w:u w:val="none"/>
          <w:lang w:val="en-US" w:eastAsia="zh-CN" w:bidi="ar"/>
        </w:rPr>
        <w:t>8、供货所有食品不存在任何色差，色味纯正，无浑浊及絮状物、无杂质霉变、无虫蛆等。所有食品及外包装须完整，无磨损、破损涨袋、胖听、漏气等现象。外包装要求明确标示食品配料、生产日期、食品保质期、致敏提示、出品方及生产方等必要信息。此外，外包装还应标明注册商标、SC编码、检验合格证及国家生产许可信息标识等重要信息。</w:t>
      </w:r>
    </w:p>
    <w:p w14:paraId="326DB013">
      <w:pPr>
        <w:pStyle w:val="8"/>
        <w:spacing w:line="360" w:lineRule="auto"/>
        <w:ind w:firstLine="560" w:firstLineChars="200"/>
        <w:rPr>
          <w:rFonts w:hint="eastAsia" w:ascii="仿宋" w:hAnsi="仿宋" w:eastAsia="仿宋" w:cs="仿宋"/>
          <w:b w:val="0"/>
          <w:bCs/>
          <w:color w:val="000000"/>
          <w:kern w:val="0"/>
          <w:sz w:val="28"/>
          <w:szCs w:val="28"/>
          <w:lang w:val="en-US" w:eastAsia="zh-CN" w:bidi="ar-SA"/>
        </w:rPr>
      </w:pPr>
      <w:r>
        <w:rPr>
          <w:rFonts w:hint="eastAsia" w:ascii="仿宋" w:hAnsi="仿宋" w:eastAsia="仿宋" w:cs="仿宋"/>
          <w:b w:val="0"/>
          <w:bCs/>
          <w:color w:val="000000"/>
          <w:kern w:val="0"/>
          <w:sz w:val="28"/>
          <w:szCs w:val="28"/>
          <w:lang w:val="en-US" w:eastAsia="zh-CN" w:bidi="ar-SA"/>
        </w:rPr>
        <w:t>5、响应时间：采购人急需的产品，供方需在3小时内送达指定地点，计划性库存产品在采购方提交需求后2日内送达指定地点。</w:t>
      </w:r>
    </w:p>
    <w:p w14:paraId="7D933B8B">
      <w:pPr>
        <w:spacing w:line="360" w:lineRule="auto"/>
        <w:ind w:firstLine="480"/>
        <w:rPr>
          <w:rFonts w:hint="eastAsia" w:ascii="仿宋" w:hAnsi="仿宋" w:eastAsia="仿宋" w:cs="仿宋"/>
          <w:b w:val="0"/>
          <w:bCs/>
          <w:color w:val="000000"/>
          <w:kern w:val="0"/>
          <w:sz w:val="28"/>
          <w:szCs w:val="28"/>
          <w:lang w:val="en-US" w:eastAsia="zh-CN" w:bidi="ar-SA"/>
        </w:rPr>
      </w:pPr>
      <w:r>
        <w:rPr>
          <w:rFonts w:hint="eastAsia" w:ascii="仿宋" w:hAnsi="仿宋" w:eastAsia="仿宋" w:cs="仿宋"/>
          <w:b w:val="0"/>
          <w:bCs/>
          <w:color w:val="000000"/>
          <w:kern w:val="0"/>
          <w:sz w:val="28"/>
          <w:szCs w:val="28"/>
          <w:lang w:val="en-US" w:eastAsia="zh-CN" w:bidi="ar-SA"/>
        </w:rPr>
        <w:t>6、双方验收时发现的次品、不合格产品，或者数量短缺的情况,中标供应商要负责做好退换货和补足数量。中标供应商提供的产品在医院使用过程中，咖啡馆反映质量存在质量问题的，中标供应商必须更换品牌，对出现质量问题的产品应负责更换，否则采购人有权终止合同。</w:t>
      </w:r>
    </w:p>
    <w:p w14:paraId="3C5EE96B">
      <w:pPr>
        <w:pStyle w:val="8"/>
        <w:ind w:firstLine="560" w:firstLineChars="200"/>
        <w:rPr>
          <w:rFonts w:hint="eastAsia" w:ascii="仿宋" w:hAnsi="仿宋" w:eastAsia="仿宋" w:cs="仿宋"/>
          <w:b w:val="0"/>
          <w:bCs/>
          <w:color w:val="000000"/>
          <w:kern w:val="0"/>
          <w:sz w:val="28"/>
          <w:szCs w:val="28"/>
          <w:lang w:val="en-US" w:eastAsia="zh-CN" w:bidi="ar-SA"/>
        </w:rPr>
      </w:pPr>
      <w:r>
        <w:rPr>
          <w:rFonts w:hint="eastAsia" w:ascii="仿宋" w:hAnsi="仿宋" w:eastAsia="仿宋" w:cs="仿宋"/>
          <w:b w:val="0"/>
          <w:bCs/>
          <w:color w:val="000000"/>
          <w:kern w:val="0"/>
          <w:sz w:val="28"/>
          <w:szCs w:val="28"/>
          <w:lang w:val="en-US" w:eastAsia="zh-CN" w:bidi="ar-SA"/>
        </w:rPr>
        <w:t>7、履约地点：产品送到采购人指定地点</w:t>
      </w:r>
    </w:p>
    <w:p w14:paraId="06CC76FF">
      <w:pPr>
        <w:pStyle w:val="8"/>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b w:val="0"/>
          <w:bCs/>
          <w:color w:val="000000"/>
          <w:kern w:val="0"/>
          <w:sz w:val="28"/>
          <w:szCs w:val="28"/>
          <w:lang w:val="en-US" w:eastAsia="zh-CN" w:bidi="ar-SA"/>
        </w:rPr>
        <w:t xml:space="preserve">8、付款方式: </w:t>
      </w:r>
      <w:r>
        <w:rPr>
          <w:rFonts w:hint="eastAsia" w:ascii="仿宋" w:hAnsi="仿宋" w:eastAsia="仿宋" w:cs="仿宋"/>
          <w:bCs/>
          <w:color w:val="auto"/>
          <w:sz w:val="28"/>
          <w:szCs w:val="28"/>
          <w:highlight w:val="none"/>
          <w:lang w:eastAsia="zh-CN"/>
        </w:rPr>
        <w:t>实际供货量×单价，</w:t>
      </w:r>
      <w:r>
        <w:rPr>
          <w:rFonts w:hint="eastAsia" w:ascii="仿宋" w:hAnsi="仿宋" w:eastAsia="仿宋" w:cs="仿宋"/>
          <w:b w:val="0"/>
          <w:bCs/>
          <w:color w:val="000000"/>
          <w:kern w:val="0"/>
          <w:sz w:val="28"/>
          <w:szCs w:val="28"/>
          <w:lang w:val="en-US" w:eastAsia="zh-CN" w:bidi="ar-SA"/>
        </w:rPr>
        <w:t>经采购人验收合格后办理入库，医院收到中标供应商开具有效发票后十个工作日内支付</w:t>
      </w:r>
      <w:r>
        <w:rPr>
          <w:rFonts w:hint="eastAsia" w:ascii="仿宋" w:hAnsi="仿宋" w:eastAsia="仿宋" w:cs="仿宋"/>
          <w:sz w:val="28"/>
          <w:szCs w:val="28"/>
          <w:highlight w:val="none"/>
          <w:lang w:val="en-US" w:eastAsia="zh-CN"/>
        </w:rPr>
        <w:t>。</w:t>
      </w:r>
    </w:p>
    <w:p w14:paraId="374EAB4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9、服务</w:t>
      </w:r>
      <w:r>
        <w:rPr>
          <w:rFonts w:hint="eastAsia" w:ascii="仿宋" w:hAnsi="仿宋" w:eastAsia="仿宋" w:cs="仿宋"/>
          <w:bCs/>
          <w:color w:val="auto"/>
          <w:sz w:val="28"/>
          <w:szCs w:val="28"/>
          <w:highlight w:val="none"/>
        </w:rPr>
        <w:t>期</w:t>
      </w:r>
      <w:r>
        <w:rPr>
          <w:rFonts w:hint="eastAsia" w:ascii="仿宋" w:hAnsi="仿宋" w:eastAsia="仿宋" w:cs="仿宋"/>
          <w:bCs/>
          <w:color w:val="auto"/>
          <w:sz w:val="28"/>
          <w:szCs w:val="28"/>
          <w:highlight w:val="none"/>
          <w:lang w:eastAsia="zh-CN"/>
        </w:rPr>
        <w:t>限</w:t>
      </w:r>
      <w:r>
        <w:rPr>
          <w:rFonts w:hint="eastAsia" w:ascii="仿宋" w:hAnsi="仿宋" w:eastAsia="仿宋" w:cs="仿宋"/>
          <w:bCs/>
          <w:color w:val="auto"/>
          <w:sz w:val="28"/>
          <w:szCs w:val="28"/>
          <w:highlight w:val="none"/>
        </w:rPr>
        <w:t>：</w:t>
      </w:r>
      <w:r>
        <w:rPr>
          <w:rFonts w:hint="eastAsia" w:ascii="仿宋" w:hAnsi="仿宋" w:eastAsia="仿宋" w:cs="仿宋"/>
          <w:bCs/>
          <w:color w:val="auto"/>
          <w:sz w:val="28"/>
          <w:szCs w:val="28"/>
          <w:highlight w:val="none"/>
          <w:lang w:val="en-US" w:eastAsia="zh-CN"/>
        </w:rPr>
        <w:t>自合同签订后1年。</w:t>
      </w:r>
    </w:p>
    <w:p w14:paraId="10EAEDB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10、本项目所有工作成果知识产权归属和处理方式：</w:t>
      </w:r>
    </w:p>
    <w:p w14:paraId="5684120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①供应商应保证所提供的产品、服务或其任何一部分均不会侵犯任何第三方的专利权、商标权或著作权，否则视为供应商违约，按照对应的违约责任条款承担相应责任。</w:t>
      </w:r>
    </w:p>
    <w:p w14:paraId="1D9E235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②未经采购人书面许可，供应商不得在产品生产、供应、营销或宣传过程中擅自使用任何采购人的名称、标识、图片等物料。否则视为供应商侵权，采购人有权要求供应商承担赔偿责任，赔偿责任原则上包含供应商由上述行为获取的全部经济利益及采购人因此产生的全部维权费用。</w:t>
      </w:r>
    </w:p>
    <w:p w14:paraId="45718DC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③因供应商未出具相应发票或凭证资料导致采购人无法结算支付的，采购人有权拒绝付款或迟延付款，且不承担违约责任。</w:t>
      </w:r>
    </w:p>
    <w:p w14:paraId="72276805">
      <w:pPr>
        <w:spacing w:line="360" w:lineRule="auto"/>
        <w:ind w:firstLine="560" w:firstLineChars="200"/>
        <w:rPr>
          <w:rFonts w:hint="eastAsia" w:ascii="仿宋" w:hAnsi="仿宋" w:eastAsia="仿宋" w:cs="仿宋"/>
          <w:color w:val="000000"/>
          <w:sz w:val="28"/>
          <w:szCs w:val="28"/>
          <w:lang w:val="zh-CN" w:eastAsia="zh-CN" w:bidi="zh-CN"/>
        </w:rPr>
      </w:pPr>
      <w:r>
        <w:rPr>
          <w:rFonts w:hint="eastAsia" w:ascii="仿宋" w:hAnsi="仿宋" w:eastAsia="仿宋" w:cs="仿宋"/>
          <w:color w:val="000000"/>
          <w:sz w:val="28"/>
          <w:szCs w:val="28"/>
          <w:lang w:val="en-US" w:eastAsia="zh-CN" w:bidi="zh-CN"/>
        </w:rPr>
        <w:t>11、</w:t>
      </w:r>
      <w:r>
        <w:rPr>
          <w:rFonts w:hint="eastAsia" w:ascii="仿宋" w:hAnsi="仿宋" w:eastAsia="仿宋" w:cs="仿宋"/>
          <w:color w:val="000000"/>
          <w:sz w:val="28"/>
          <w:szCs w:val="28"/>
          <w:lang w:val="zh-CN" w:eastAsia="zh-CN" w:bidi="zh-CN"/>
        </w:rPr>
        <w:t>验收：</w:t>
      </w:r>
    </w:p>
    <w:p w14:paraId="2BBFEEA7">
      <w:pPr>
        <w:spacing w:line="360" w:lineRule="auto"/>
        <w:ind w:firstLine="560" w:firstLineChars="200"/>
        <w:rPr>
          <w:rFonts w:hint="eastAsia" w:ascii="仿宋" w:hAnsi="仿宋" w:eastAsia="仿宋" w:cs="仿宋"/>
          <w:color w:val="000000"/>
          <w:sz w:val="28"/>
          <w:szCs w:val="28"/>
          <w:lang w:val="zh-CN" w:eastAsia="zh-CN" w:bidi="zh-CN"/>
        </w:rPr>
      </w:pPr>
      <w:r>
        <w:rPr>
          <w:rFonts w:hint="eastAsia" w:ascii="仿宋" w:hAnsi="仿宋" w:eastAsia="仿宋" w:cs="仿宋"/>
          <w:color w:val="000000"/>
          <w:sz w:val="28"/>
          <w:szCs w:val="28"/>
          <w:lang w:val="en-US" w:eastAsia="zh-CN" w:bidi="zh-CN"/>
        </w:rPr>
        <w:t>①</w:t>
      </w:r>
      <w:r>
        <w:rPr>
          <w:rFonts w:hint="eastAsia" w:ascii="仿宋" w:hAnsi="仿宋" w:eastAsia="仿宋" w:cs="仿宋"/>
          <w:color w:val="000000"/>
          <w:sz w:val="28"/>
          <w:szCs w:val="28"/>
          <w:lang w:val="zh-CN" w:eastAsia="zh-CN" w:bidi="zh-CN"/>
        </w:rPr>
        <w:t>验收标准：按国家有关规定以及采购文件的质量要求和技术指标、供应商的响应文件及承诺与合同约定标准进行验收；采购人与供应商双方如对质量要求和技术指标的约定标准有相互抵触或异议的事项，由釆购人在采购文件及响应文件中按质量要求和技术指标比较优胜的原则确定该项的约定标准进行验收。</w:t>
      </w:r>
    </w:p>
    <w:p w14:paraId="671AF21A">
      <w:pPr>
        <w:spacing w:line="360" w:lineRule="auto"/>
        <w:ind w:firstLine="560" w:firstLineChars="200"/>
        <w:rPr>
          <w:rFonts w:hint="eastAsia" w:ascii="仿宋" w:hAnsi="仿宋" w:eastAsia="仿宋" w:cs="仿宋"/>
          <w:color w:val="000000"/>
          <w:sz w:val="28"/>
          <w:szCs w:val="28"/>
          <w:lang w:val="zh-CN" w:eastAsia="zh-CN" w:bidi="zh-CN"/>
        </w:rPr>
      </w:pPr>
      <w:r>
        <w:rPr>
          <w:rFonts w:hint="eastAsia" w:ascii="仿宋" w:hAnsi="仿宋" w:eastAsia="仿宋" w:cs="仿宋"/>
          <w:color w:val="000000"/>
          <w:sz w:val="28"/>
          <w:szCs w:val="28"/>
          <w:lang w:val="en-US" w:eastAsia="zh-CN" w:bidi="zh-CN"/>
        </w:rPr>
        <w:t>②</w:t>
      </w:r>
      <w:r>
        <w:rPr>
          <w:rFonts w:hint="eastAsia" w:ascii="仿宋" w:hAnsi="仿宋" w:eastAsia="仿宋" w:cs="仿宋"/>
          <w:color w:val="000000"/>
          <w:sz w:val="28"/>
          <w:szCs w:val="28"/>
          <w:lang w:val="zh-CN" w:eastAsia="zh-CN" w:bidi="zh-CN"/>
        </w:rPr>
        <w:t>其他未尽事宜应参照《财政部关于进一步加强政府采购需求和履约验收管理的指导意见》（财库〔2016〕205号）的要求进行验收。</w:t>
      </w:r>
    </w:p>
    <w:p w14:paraId="39DF34C5">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val="0"/>
          <w:color w:val="auto"/>
          <w:sz w:val="28"/>
          <w:szCs w:val="28"/>
          <w:highlight w:val="none"/>
          <w:lang w:val="en-US" w:eastAsia="zh-CN"/>
        </w:rPr>
      </w:pPr>
      <w:r>
        <w:rPr>
          <w:rFonts w:hint="eastAsia" w:ascii="仿宋" w:hAnsi="仿宋" w:eastAsia="仿宋" w:cs="仿宋"/>
          <w:b/>
          <w:bCs/>
          <w:color w:val="auto"/>
          <w:sz w:val="28"/>
          <w:szCs w:val="28"/>
          <w:highlight w:val="none"/>
        </w:rPr>
        <w:t>注：</w:t>
      </w:r>
      <w:r>
        <w:rPr>
          <w:rFonts w:hint="eastAsia" w:ascii="仿宋" w:hAnsi="仿宋" w:eastAsia="仿宋" w:cs="仿宋"/>
          <w:b/>
          <w:bCs w:val="0"/>
          <w:color w:val="auto"/>
          <w:sz w:val="28"/>
          <w:szCs w:val="28"/>
          <w:highlight w:val="none"/>
          <w:lang w:val="en-US" w:eastAsia="zh-CN"/>
        </w:rPr>
        <w:t>本章★项为实质性要求；本项目所涉及的所有国家标准、地方标准、行业标准等如有最新的标准以最新标准为准。</w:t>
      </w:r>
    </w:p>
    <w:p w14:paraId="071A9498">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val="0"/>
          <w:color w:val="auto"/>
          <w:sz w:val="24"/>
          <w:szCs w:val="24"/>
          <w:highlight w:val="none"/>
          <w:lang w:val="en-US" w:eastAsia="zh-CN"/>
        </w:rPr>
      </w:pPr>
    </w:p>
    <w:p w14:paraId="58BD522E">
      <w:pPr>
        <w:spacing w:line="360" w:lineRule="auto"/>
        <w:outlineLvl w:val="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rPr>
        <w:t>附件</w:t>
      </w:r>
      <w:r>
        <w:rPr>
          <w:rFonts w:hint="eastAsia" w:ascii="仿宋" w:hAnsi="仿宋" w:eastAsia="仿宋" w:cs="仿宋"/>
          <w:b/>
          <w:bCs/>
          <w:color w:val="auto"/>
          <w:sz w:val="32"/>
          <w:szCs w:val="32"/>
          <w:lang w:val="en-US" w:eastAsia="zh-CN"/>
        </w:rPr>
        <w:t>2</w:t>
      </w:r>
      <w:r>
        <w:rPr>
          <w:rFonts w:hint="eastAsia" w:ascii="仿宋" w:hAnsi="仿宋" w:eastAsia="仿宋" w:cs="仿宋"/>
          <w:b/>
          <w:bCs/>
          <w:color w:val="auto"/>
          <w:sz w:val="32"/>
          <w:szCs w:val="32"/>
        </w:rPr>
        <w:t>：报价</w:t>
      </w:r>
      <w:r>
        <w:rPr>
          <w:rFonts w:hint="eastAsia" w:ascii="仿宋" w:hAnsi="仿宋" w:eastAsia="仿宋" w:cs="仿宋"/>
          <w:b/>
          <w:bCs/>
          <w:color w:val="auto"/>
          <w:sz w:val="32"/>
          <w:szCs w:val="32"/>
          <w:lang w:val="en-US" w:eastAsia="zh-CN"/>
        </w:rPr>
        <w:t>格式</w:t>
      </w:r>
    </w:p>
    <w:tbl>
      <w:tblPr>
        <w:tblStyle w:val="15"/>
        <w:tblpPr w:leftFromText="180" w:rightFromText="180" w:vertAnchor="text" w:horzAnchor="page" w:tblpX="1492" w:tblpY="600"/>
        <w:tblOverlap w:val="never"/>
        <w:tblW w:w="506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2"/>
        <w:gridCol w:w="1896"/>
        <w:gridCol w:w="1942"/>
        <w:gridCol w:w="1805"/>
        <w:gridCol w:w="1256"/>
        <w:gridCol w:w="1270"/>
      </w:tblGrid>
      <w:tr w14:paraId="73A8B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97" w:type="pct"/>
            <w:tcBorders>
              <w:top w:val="single" w:color="000000" w:sz="4" w:space="0"/>
              <w:left w:val="single" w:color="000000" w:sz="4" w:space="0"/>
              <w:bottom w:val="single" w:color="000000" w:sz="4" w:space="0"/>
              <w:right w:val="single" w:color="000000" w:sz="4" w:space="0"/>
            </w:tcBorders>
            <w:noWrap/>
            <w:vAlign w:val="center"/>
          </w:tcPr>
          <w:p w14:paraId="74979D2E">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序号</w:t>
            </w:r>
          </w:p>
        </w:tc>
        <w:tc>
          <w:tcPr>
            <w:tcW w:w="1045" w:type="pct"/>
            <w:tcBorders>
              <w:top w:val="single" w:color="000000" w:sz="4" w:space="0"/>
              <w:left w:val="single" w:color="000000" w:sz="4" w:space="0"/>
              <w:bottom w:val="single" w:color="000000" w:sz="4" w:space="0"/>
              <w:right w:val="single" w:color="000000" w:sz="4" w:space="0"/>
            </w:tcBorders>
            <w:noWrap/>
            <w:vAlign w:val="center"/>
          </w:tcPr>
          <w:p w14:paraId="5418609B">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品名</w:t>
            </w:r>
          </w:p>
        </w:tc>
        <w:tc>
          <w:tcPr>
            <w:tcW w:w="1070" w:type="pct"/>
            <w:tcBorders>
              <w:top w:val="single" w:color="000000" w:sz="4" w:space="0"/>
              <w:left w:val="single" w:color="000000" w:sz="4" w:space="0"/>
              <w:bottom w:val="single" w:color="000000" w:sz="4" w:space="0"/>
              <w:right w:val="single" w:color="000000" w:sz="4" w:space="0"/>
            </w:tcBorders>
            <w:noWrap w:val="0"/>
            <w:vAlign w:val="center"/>
          </w:tcPr>
          <w:p w14:paraId="0AE88B21">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规格</w:t>
            </w:r>
          </w:p>
        </w:tc>
        <w:tc>
          <w:tcPr>
            <w:tcW w:w="994" w:type="pct"/>
            <w:tcBorders>
              <w:top w:val="single" w:color="000000" w:sz="4" w:space="0"/>
              <w:left w:val="single" w:color="000000" w:sz="4" w:space="0"/>
              <w:bottom w:val="single" w:color="000000" w:sz="4" w:space="0"/>
              <w:right w:val="single" w:color="000000" w:sz="4" w:space="0"/>
            </w:tcBorders>
            <w:noWrap/>
            <w:vAlign w:val="center"/>
          </w:tcPr>
          <w:p w14:paraId="59268C47">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单位</w:t>
            </w:r>
          </w:p>
        </w:tc>
        <w:tc>
          <w:tcPr>
            <w:tcW w:w="692" w:type="pct"/>
            <w:tcBorders>
              <w:top w:val="single" w:color="000000" w:sz="4" w:space="0"/>
              <w:left w:val="single" w:color="000000" w:sz="4" w:space="0"/>
              <w:bottom w:val="single" w:color="000000" w:sz="4" w:space="0"/>
              <w:right w:val="single" w:color="000000" w:sz="4" w:space="0"/>
            </w:tcBorders>
            <w:noWrap/>
            <w:vAlign w:val="center"/>
          </w:tcPr>
          <w:p w14:paraId="197D0537">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数量</w:t>
            </w:r>
          </w:p>
        </w:tc>
        <w:tc>
          <w:tcPr>
            <w:tcW w:w="700" w:type="pct"/>
            <w:tcBorders>
              <w:top w:val="single" w:color="000000" w:sz="4" w:space="0"/>
              <w:left w:val="single" w:color="000000" w:sz="4" w:space="0"/>
              <w:bottom w:val="single" w:color="000000" w:sz="4" w:space="0"/>
              <w:right w:val="single" w:color="000000" w:sz="4" w:space="0"/>
            </w:tcBorders>
            <w:noWrap/>
            <w:vAlign w:val="center"/>
          </w:tcPr>
          <w:p w14:paraId="440F2217">
            <w:pPr>
              <w:keepNext w:val="0"/>
              <w:keepLines w:val="0"/>
              <w:widowControl/>
              <w:suppressLineNumbers w:val="0"/>
              <w:jc w:val="center"/>
              <w:textAlignment w:val="center"/>
              <w:rPr>
                <w:rFonts w:hint="default"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单价</w:t>
            </w:r>
          </w:p>
        </w:tc>
      </w:tr>
      <w:tr w14:paraId="231AD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97" w:type="pct"/>
            <w:tcBorders>
              <w:top w:val="single" w:color="000000" w:sz="4" w:space="0"/>
              <w:left w:val="single" w:color="000000" w:sz="4" w:space="0"/>
              <w:bottom w:val="single" w:color="000000" w:sz="4" w:space="0"/>
              <w:right w:val="single" w:color="000000" w:sz="4" w:space="0"/>
            </w:tcBorders>
            <w:noWrap/>
            <w:vAlign w:val="center"/>
          </w:tcPr>
          <w:p w14:paraId="6E70AB07">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w:t>
            </w:r>
          </w:p>
        </w:tc>
        <w:tc>
          <w:tcPr>
            <w:tcW w:w="1045" w:type="pct"/>
            <w:tcBorders>
              <w:top w:val="single" w:color="000000" w:sz="4" w:space="0"/>
              <w:left w:val="single" w:color="000000" w:sz="4" w:space="0"/>
              <w:bottom w:val="single" w:color="000000" w:sz="4" w:space="0"/>
              <w:right w:val="single" w:color="000000" w:sz="4" w:space="0"/>
            </w:tcBorders>
            <w:noWrap/>
            <w:vAlign w:val="center"/>
          </w:tcPr>
          <w:p w14:paraId="266A1DE6">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eastAsia="zh-CN"/>
              </w:rPr>
            </w:pPr>
            <w:r>
              <w:rPr>
                <w:rFonts w:hint="eastAsia" w:ascii="仿宋" w:hAnsi="仿宋" w:eastAsia="仿宋" w:cs="仿宋"/>
                <w:i w:val="0"/>
                <w:iCs w:val="0"/>
                <w:color w:val="auto"/>
                <w:sz w:val="28"/>
                <w:szCs w:val="28"/>
                <w:highlight w:val="none"/>
                <w:u w:val="none"/>
                <w:lang w:val="en-US" w:eastAsia="zh-CN"/>
              </w:rPr>
              <w:t>焙炒咖啡豆</w:t>
            </w:r>
          </w:p>
        </w:tc>
        <w:tc>
          <w:tcPr>
            <w:tcW w:w="1070" w:type="pct"/>
            <w:tcBorders>
              <w:top w:val="single" w:color="000000" w:sz="4" w:space="0"/>
              <w:left w:val="single" w:color="000000" w:sz="4" w:space="0"/>
              <w:bottom w:val="single" w:color="000000" w:sz="4" w:space="0"/>
              <w:right w:val="single" w:color="000000" w:sz="4" w:space="0"/>
            </w:tcBorders>
            <w:noWrap w:val="0"/>
            <w:vAlign w:val="center"/>
          </w:tcPr>
          <w:p w14:paraId="1C0C7067">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rPr>
            </w:pPr>
            <w:r>
              <w:rPr>
                <w:rFonts w:hint="eastAsia" w:ascii="仿宋" w:hAnsi="仿宋" w:eastAsia="仿宋" w:cs="仿宋"/>
                <w:i w:val="0"/>
                <w:iCs w:val="0"/>
                <w:color w:val="auto"/>
                <w:kern w:val="0"/>
                <w:sz w:val="28"/>
                <w:szCs w:val="28"/>
                <w:highlight w:val="none"/>
                <w:u w:val="none"/>
                <w:lang w:val="en-US" w:eastAsia="zh-CN" w:bidi="ar"/>
              </w:rPr>
              <w:t>烘焙度：中烘，485g/袋</w:t>
            </w:r>
          </w:p>
        </w:tc>
        <w:tc>
          <w:tcPr>
            <w:tcW w:w="994" w:type="pct"/>
            <w:tcBorders>
              <w:top w:val="single" w:color="000000" w:sz="4" w:space="0"/>
              <w:left w:val="single" w:color="000000" w:sz="4" w:space="0"/>
              <w:bottom w:val="single" w:color="000000" w:sz="4" w:space="0"/>
              <w:right w:val="single" w:color="000000" w:sz="4" w:space="0"/>
            </w:tcBorders>
            <w:noWrap w:val="0"/>
            <w:vAlign w:val="center"/>
          </w:tcPr>
          <w:p w14:paraId="50541362">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eastAsia="zh-CN"/>
              </w:rPr>
            </w:pPr>
            <w:r>
              <w:rPr>
                <w:rFonts w:hint="eastAsia" w:ascii="仿宋" w:hAnsi="仿宋" w:eastAsia="仿宋" w:cs="仿宋"/>
                <w:i w:val="0"/>
                <w:iCs w:val="0"/>
                <w:color w:val="auto"/>
                <w:sz w:val="28"/>
                <w:szCs w:val="28"/>
                <w:highlight w:val="none"/>
                <w:u w:val="none"/>
                <w:lang w:val="en-US" w:eastAsia="zh-CN"/>
              </w:rPr>
              <w:t>袋</w:t>
            </w:r>
          </w:p>
        </w:tc>
        <w:tc>
          <w:tcPr>
            <w:tcW w:w="692" w:type="pct"/>
            <w:tcBorders>
              <w:top w:val="single" w:color="000000" w:sz="4" w:space="0"/>
              <w:left w:val="single" w:color="000000" w:sz="4" w:space="0"/>
              <w:bottom w:val="single" w:color="000000" w:sz="4" w:space="0"/>
              <w:right w:val="single" w:color="000000" w:sz="4" w:space="0"/>
            </w:tcBorders>
            <w:noWrap/>
            <w:vAlign w:val="center"/>
          </w:tcPr>
          <w:p w14:paraId="76366141">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eastAsia="zh-CN"/>
              </w:rPr>
            </w:pPr>
            <w:r>
              <w:rPr>
                <w:rFonts w:hint="eastAsia" w:ascii="仿宋" w:hAnsi="仿宋" w:eastAsia="仿宋" w:cs="仿宋"/>
                <w:i w:val="0"/>
                <w:iCs w:val="0"/>
                <w:color w:val="auto"/>
                <w:sz w:val="28"/>
                <w:szCs w:val="28"/>
                <w:highlight w:val="none"/>
                <w:u w:val="none"/>
                <w:lang w:val="en-US" w:eastAsia="zh-CN"/>
              </w:rPr>
              <w:t>1500</w:t>
            </w:r>
          </w:p>
        </w:tc>
        <w:tc>
          <w:tcPr>
            <w:tcW w:w="700" w:type="pct"/>
            <w:tcBorders>
              <w:top w:val="single" w:color="000000" w:sz="4" w:space="0"/>
              <w:left w:val="single" w:color="000000" w:sz="4" w:space="0"/>
              <w:bottom w:val="single" w:color="000000" w:sz="4" w:space="0"/>
              <w:right w:val="single" w:color="000000" w:sz="4" w:space="0"/>
            </w:tcBorders>
            <w:noWrap/>
            <w:vAlign w:val="center"/>
          </w:tcPr>
          <w:p w14:paraId="07C0E5D9">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eastAsia="zh-CN"/>
              </w:rPr>
            </w:pPr>
          </w:p>
        </w:tc>
      </w:tr>
      <w:tr w14:paraId="2E55A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97" w:type="pct"/>
            <w:tcBorders>
              <w:top w:val="single" w:color="000000" w:sz="4" w:space="0"/>
              <w:left w:val="single" w:color="000000" w:sz="4" w:space="0"/>
              <w:bottom w:val="single" w:color="000000" w:sz="4" w:space="0"/>
              <w:right w:val="single" w:color="000000" w:sz="4" w:space="0"/>
            </w:tcBorders>
            <w:noWrap/>
            <w:vAlign w:val="center"/>
          </w:tcPr>
          <w:p w14:paraId="323A92F0">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2</w:t>
            </w:r>
          </w:p>
        </w:tc>
        <w:tc>
          <w:tcPr>
            <w:tcW w:w="1045" w:type="pct"/>
            <w:tcBorders>
              <w:top w:val="single" w:color="000000" w:sz="4" w:space="0"/>
              <w:left w:val="single" w:color="000000" w:sz="4" w:space="0"/>
              <w:bottom w:val="single" w:color="000000" w:sz="4" w:space="0"/>
              <w:right w:val="single" w:color="000000" w:sz="4" w:space="0"/>
            </w:tcBorders>
            <w:noWrap/>
            <w:vAlign w:val="center"/>
          </w:tcPr>
          <w:p w14:paraId="0A9DFE6E">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eastAsia="zh-CN"/>
              </w:rPr>
            </w:pPr>
            <w:r>
              <w:rPr>
                <w:rFonts w:hint="eastAsia" w:ascii="仿宋" w:hAnsi="仿宋" w:eastAsia="仿宋" w:cs="仿宋"/>
                <w:i w:val="0"/>
                <w:iCs w:val="0"/>
                <w:color w:val="auto"/>
                <w:sz w:val="28"/>
                <w:szCs w:val="28"/>
                <w:highlight w:val="none"/>
                <w:u w:val="none"/>
                <w:lang w:val="en-US" w:eastAsia="zh-CN"/>
              </w:rPr>
              <w:t>咖啡大师燕麦奶</w:t>
            </w:r>
          </w:p>
        </w:tc>
        <w:tc>
          <w:tcPr>
            <w:tcW w:w="1070" w:type="pct"/>
            <w:tcBorders>
              <w:top w:val="single" w:color="000000" w:sz="4" w:space="0"/>
              <w:left w:val="single" w:color="000000" w:sz="4" w:space="0"/>
              <w:bottom w:val="single" w:color="000000" w:sz="4" w:space="0"/>
              <w:right w:val="single" w:color="000000" w:sz="4" w:space="0"/>
            </w:tcBorders>
            <w:noWrap w:val="0"/>
            <w:vAlign w:val="center"/>
          </w:tcPr>
          <w:p w14:paraId="27088E9D">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eastAsia="zh-CN"/>
              </w:rPr>
            </w:pPr>
            <w:r>
              <w:rPr>
                <w:rFonts w:hint="eastAsia" w:ascii="仿宋" w:hAnsi="仿宋" w:eastAsia="仿宋" w:cs="仿宋"/>
                <w:i w:val="0"/>
                <w:iCs w:val="0"/>
                <w:color w:val="auto"/>
                <w:sz w:val="28"/>
                <w:szCs w:val="28"/>
                <w:highlight w:val="none"/>
                <w:u w:val="none"/>
                <w:lang w:val="en-US" w:eastAsia="zh-CN"/>
              </w:rPr>
              <w:t>1L/盒，6盒/件</w:t>
            </w:r>
          </w:p>
        </w:tc>
        <w:tc>
          <w:tcPr>
            <w:tcW w:w="994" w:type="pct"/>
            <w:tcBorders>
              <w:top w:val="single" w:color="000000" w:sz="4" w:space="0"/>
              <w:left w:val="single" w:color="000000" w:sz="4" w:space="0"/>
              <w:bottom w:val="single" w:color="000000" w:sz="4" w:space="0"/>
              <w:right w:val="single" w:color="000000" w:sz="4" w:space="0"/>
            </w:tcBorders>
            <w:noWrap/>
            <w:vAlign w:val="center"/>
          </w:tcPr>
          <w:p w14:paraId="1C04643E">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eastAsia="zh-CN"/>
              </w:rPr>
            </w:pPr>
            <w:r>
              <w:rPr>
                <w:rFonts w:hint="eastAsia" w:ascii="仿宋" w:hAnsi="仿宋" w:eastAsia="仿宋" w:cs="仿宋"/>
                <w:i w:val="0"/>
                <w:iCs w:val="0"/>
                <w:color w:val="auto"/>
                <w:sz w:val="28"/>
                <w:szCs w:val="28"/>
                <w:highlight w:val="none"/>
                <w:u w:val="none"/>
                <w:lang w:val="en-US" w:eastAsia="zh-CN"/>
              </w:rPr>
              <w:t>件</w:t>
            </w:r>
          </w:p>
        </w:tc>
        <w:tc>
          <w:tcPr>
            <w:tcW w:w="692" w:type="pct"/>
            <w:tcBorders>
              <w:top w:val="single" w:color="000000" w:sz="4" w:space="0"/>
              <w:left w:val="single" w:color="000000" w:sz="4" w:space="0"/>
              <w:bottom w:val="single" w:color="000000" w:sz="4" w:space="0"/>
              <w:right w:val="single" w:color="000000" w:sz="4" w:space="0"/>
            </w:tcBorders>
            <w:noWrap/>
            <w:vAlign w:val="center"/>
          </w:tcPr>
          <w:p w14:paraId="7967A504">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eastAsia="zh-CN"/>
              </w:rPr>
            </w:pPr>
            <w:r>
              <w:rPr>
                <w:rFonts w:hint="eastAsia" w:ascii="仿宋" w:hAnsi="仿宋" w:eastAsia="仿宋" w:cs="仿宋"/>
                <w:i w:val="0"/>
                <w:iCs w:val="0"/>
                <w:color w:val="auto"/>
                <w:sz w:val="28"/>
                <w:szCs w:val="28"/>
                <w:highlight w:val="none"/>
                <w:u w:val="none"/>
                <w:lang w:val="en-US" w:eastAsia="zh-CN"/>
              </w:rPr>
              <w:t>800</w:t>
            </w:r>
          </w:p>
        </w:tc>
        <w:tc>
          <w:tcPr>
            <w:tcW w:w="700" w:type="pct"/>
            <w:tcBorders>
              <w:top w:val="single" w:color="000000" w:sz="4" w:space="0"/>
              <w:left w:val="single" w:color="000000" w:sz="4" w:space="0"/>
              <w:bottom w:val="single" w:color="000000" w:sz="4" w:space="0"/>
              <w:right w:val="single" w:color="000000" w:sz="4" w:space="0"/>
            </w:tcBorders>
            <w:noWrap/>
            <w:vAlign w:val="center"/>
          </w:tcPr>
          <w:p w14:paraId="0E75D5FD">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eastAsia="zh-CN"/>
              </w:rPr>
            </w:pPr>
          </w:p>
        </w:tc>
      </w:tr>
      <w:tr w14:paraId="5C54A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97" w:type="pct"/>
            <w:tcBorders>
              <w:top w:val="single" w:color="000000" w:sz="4" w:space="0"/>
              <w:left w:val="single" w:color="000000" w:sz="4" w:space="0"/>
              <w:bottom w:val="single" w:color="000000" w:sz="4" w:space="0"/>
              <w:right w:val="single" w:color="000000" w:sz="4" w:space="0"/>
            </w:tcBorders>
            <w:noWrap/>
            <w:vAlign w:val="center"/>
          </w:tcPr>
          <w:p w14:paraId="3B536CBB">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3</w:t>
            </w:r>
          </w:p>
        </w:tc>
        <w:tc>
          <w:tcPr>
            <w:tcW w:w="1045" w:type="pct"/>
            <w:tcBorders>
              <w:top w:val="single" w:color="000000" w:sz="4" w:space="0"/>
              <w:left w:val="single" w:color="000000" w:sz="4" w:space="0"/>
              <w:bottom w:val="single" w:color="000000" w:sz="4" w:space="0"/>
              <w:right w:val="single" w:color="000000" w:sz="4" w:space="0"/>
            </w:tcBorders>
            <w:noWrap/>
            <w:vAlign w:val="center"/>
          </w:tcPr>
          <w:p w14:paraId="3C7EBEBE">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eastAsia="zh-CN"/>
              </w:rPr>
            </w:pPr>
            <w:r>
              <w:rPr>
                <w:rFonts w:hint="eastAsia" w:ascii="仿宋" w:hAnsi="仿宋" w:eastAsia="仿宋" w:cs="仿宋"/>
                <w:i w:val="0"/>
                <w:iCs w:val="0"/>
                <w:color w:val="auto"/>
                <w:sz w:val="28"/>
                <w:szCs w:val="28"/>
                <w:highlight w:val="none"/>
                <w:u w:val="none"/>
                <w:lang w:val="en-US" w:eastAsia="zh-CN"/>
              </w:rPr>
              <w:t>凤梨果浆</w:t>
            </w:r>
          </w:p>
        </w:tc>
        <w:tc>
          <w:tcPr>
            <w:tcW w:w="1070" w:type="pct"/>
            <w:tcBorders>
              <w:top w:val="single" w:color="000000" w:sz="4" w:space="0"/>
              <w:left w:val="single" w:color="000000" w:sz="4" w:space="0"/>
              <w:bottom w:val="single" w:color="000000" w:sz="4" w:space="0"/>
              <w:right w:val="single" w:color="000000" w:sz="4" w:space="0"/>
            </w:tcBorders>
            <w:noWrap w:val="0"/>
            <w:vAlign w:val="center"/>
          </w:tcPr>
          <w:p w14:paraId="76BFE2BD">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rPr>
            </w:pPr>
            <w:r>
              <w:rPr>
                <w:rFonts w:hint="eastAsia" w:ascii="仿宋" w:hAnsi="仿宋" w:eastAsia="仿宋" w:cs="仿宋"/>
                <w:i w:val="0"/>
                <w:iCs w:val="0"/>
                <w:color w:val="auto"/>
                <w:kern w:val="0"/>
                <w:sz w:val="28"/>
                <w:szCs w:val="28"/>
                <w:highlight w:val="none"/>
                <w:u w:val="none"/>
                <w:lang w:val="en-US" w:eastAsia="zh-CN" w:bidi="ar"/>
              </w:rPr>
              <w:t>1.2kg/瓶</w:t>
            </w:r>
          </w:p>
        </w:tc>
        <w:tc>
          <w:tcPr>
            <w:tcW w:w="994" w:type="pct"/>
            <w:tcBorders>
              <w:top w:val="single" w:color="000000" w:sz="4" w:space="0"/>
              <w:left w:val="single" w:color="000000" w:sz="4" w:space="0"/>
              <w:bottom w:val="single" w:color="000000" w:sz="4" w:space="0"/>
              <w:right w:val="single" w:color="000000" w:sz="4" w:space="0"/>
            </w:tcBorders>
            <w:noWrap w:val="0"/>
            <w:vAlign w:val="center"/>
          </w:tcPr>
          <w:p w14:paraId="32B26744">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eastAsia="zh-CN"/>
              </w:rPr>
            </w:pPr>
            <w:r>
              <w:rPr>
                <w:rFonts w:hint="eastAsia" w:ascii="仿宋" w:hAnsi="仿宋" w:eastAsia="仿宋" w:cs="仿宋"/>
                <w:i w:val="0"/>
                <w:iCs w:val="0"/>
                <w:color w:val="auto"/>
                <w:sz w:val="28"/>
                <w:szCs w:val="28"/>
                <w:highlight w:val="none"/>
                <w:u w:val="none"/>
                <w:lang w:val="en-US" w:eastAsia="zh-CN"/>
              </w:rPr>
              <w:t>瓶</w:t>
            </w:r>
          </w:p>
        </w:tc>
        <w:tc>
          <w:tcPr>
            <w:tcW w:w="692" w:type="pct"/>
            <w:tcBorders>
              <w:top w:val="single" w:color="000000" w:sz="4" w:space="0"/>
              <w:left w:val="single" w:color="000000" w:sz="4" w:space="0"/>
              <w:bottom w:val="single" w:color="000000" w:sz="4" w:space="0"/>
              <w:right w:val="single" w:color="000000" w:sz="4" w:space="0"/>
            </w:tcBorders>
            <w:noWrap/>
            <w:vAlign w:val="center"/>
          </w:tcPr>
          <w:p w14:paraId="15DF750E">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eastAsia="zh-CN"/>
              </w:rPr>
            </w:pPr>
            <w:r>
              <w:rPr>
                <w:rFonts w:hint="eastAsia" w:ascii="仿宋" w:hAnsi="仿宋" w:eastAsia="仿宋" w:cs="仿宋"/>
                <w:i w:val="0"/>
                <w:iCs w:val="0"/>
                <w:color w:val="auto"/>
                <w:sz w:val="28"/>
                <w:szCs w:val="28"/>
                <w:highlight w:val="none"/>
                <w:u w:val="none"/>
                <w:lang w:val="en-US" w:eastAsia="zh-CN"/>
              </w:rPr>
              <w:t>360</w:t>
            </w:r>
          </w:p>
        </w:tc>
        <w:tc>
          <w:tcPr>
            <w:tcW w:w="700" w:type="pct"/>
            <w:tcBorders>
              <w:top w:val="single" w:color="000000" w:sz="4" w:space="0"/>
              <w:left w:val="single" w:color="000000" w:sz="4" w:space="0"/>
              <w:bottom w:val="single" w:color="000000" w:sz="4" w:space="0"/>
              <w:right w:val="single" w:color="000000" w:sz="4" w:space="0"/>
            </w:tcBorders>
            <w:noWrap/>
            <w:vAlign w:val="center"/>
          </w:tcPr>
          <w:p w14:paraId="0E76E230">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eastAsia="zh-CN"/>
              </w:rPr>
            </w:pPr>
          </w:p>
        </w:tc>
      </w:tr>
      <w:tr w14:paraId="295C9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497" w:type="pct"/>
            <w:tcBorders>
              <w:top w:val="single" w:color="000000" w:sz="4" w:space="0"/>
              <w:left w:val="single" w:color="000000" w:sz="4" w:space="0"/>
              <w:bottom w:val="single" w:color="000000" w:sz="4" w:space="0"/>
              <w:right w:val="single" w:color="000000" w:sz="4" w:space="0"/>
            </w:tcBorders>
            <w:noWrap/>
            <w:vAlign w:val="center"/>
          </w:tcPr>
          <w:p w14:paraId="4800E17B">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4</w:t>
            </w:r>
          </w:p>
        </w:tc>
        <w:tc>
          <w:tcPr>
            <w:tcW w:w="1045" w:type="pct"/>
            <w:tcBorders>
              <w:top w:val="single" w:color="000000" w:sz="4" w:space="0"/>
              <w:left w:val="single" w:color="000000" w:sz="4" w:space="0"/>
              <w:bottom w:val="single" w:color="000000" w:sz="4" w:space="0"/>
              <w:right w:val="single" w:color="000000" w:sz="4" w:space="0"/>
            </w:tcBorders>
            <w:noWrap/>
            <w:vAlign w:val="center"/>
          </w:tcPr>
          <w:p w14:paraId="6C48D231">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sz w:val="28"/>
                <w:szCs w:val="28"/>
                <w:highlight w:val="none"/>
                <w:u w:val="none"/>
                <w:lang w:val="en-US" w:eastAsia="zh-CN"/>
              </w:rPr>
              <w:t>柳橙果浆</w:t>
            </w:r>
          </w:p>
        </w:tc>
        <w:tc>
          <w:tcPr>
            <w:tcW w:w="1070" w:type="pct"/>
            <w:tcBorders>
              <w:top w:val="single" w:color="000000" w:sz="4" w:space="0"/>
              <w:left w:val="single" w:color="000000" w:sz="4" w:space="0"/>
              <w:bottom w:val="single" w:color="000000" w:sz="4" w:space="0"/>
              <w:right w:val="single" w:color="000000" w:sz="4" w:space="0"/>
            </w:tcBorders>
            <w:noWrap w:val="0"/>
            <w:vAlign w:val="center"/>
          </w:tcPr>
          <w:p w14:paraId="6E202968">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eastAsia="zh-CN"/>
              </w:rPr>
            </w:pPr>
            <w:r>
              <w:rPr>
                <w:rFonts w:hint="eastAsia" w:ascii="仿宋" w:hAnsi="仿宋" w:eastAsia="仿宋" w:cs="仿宋"/>
                <w:i w:val="0"/>
                <w:iCs w:val="0"/>
                <w:color w:val="auto"/>
                <w:sz w:val="28"/>
                <w:szCs w:val="28"/>
                <w:highlight w:val="none"/>
                <w:u w:val="none"/>
                <w:lang w:val="en-US" w:eastAsia="zh-CN"/>
              </w:rPr>
              <w:t>1.3kg/瓶</w:t>
            </w:r>
          </w:p>
        </w:tc>
        <w:tc>
          <w:tcPr>
            <w:tcW w:w="994" w:type="pct"/>
            <w:tcBorders>
              <w:top w:val="single" w:color="000000" w:sz="4" w:space="0"/>
              <w:left w:val="single" w:color="000000" w:sz="4" w:space="0"/>
              <w:bottom w:val="single" w:color="000000" w:sz="4" w:space="0"/>
              <w:right w:val="single" w:color="000000" w:sz="4" w:space="0"/>
            </w:tcBorders>
            <w:noWrap/>
            <w:vAlign w:val="center"/>
          </w:tcPr>
          <w:p w14:paraId="02B1B402">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eastAsia="zh-CN"/>
              </w:rPr>
            </w:pPr>
            <w:r>
              <w:rPr>
                <w:rFonts w:hint="eastAsia" w:ascii="仿宋" w:hAnsi="仿宋" w:eastAsia="仿宋" w:cs="仿宋"/>
                <w:i w:val="0"/>
                <w:iCs w:val="0"/>
                <w:color w:val="auto"/>
                <w:sz w:val="28"/>
                <w:szCs w:val="28"/>
                <w:highlight w:val="none"/>
                <w:u w:val="none"/>
                <w:lang w:val="en-US" w:eastAsia="zh-CN"/>
              </w:rPr>
              <w:t>瓶</w:t>
            </w:r>
          </w:p>
        </w:tc>
        <w:tc>
          <w:tcPr>
            <w:tcW w:w="692" w:type="pct"/>
            <w:tcBorders>
              <w:top w:val="single" w:color="000000" w:sz="4" w:space="0"/>
              <w:left w:val="single" w:color="000000" w:sz="4" w:space="0"/>
              <w:bottom w:val="single" w:color="000000" w:sz="4" w:space="0"/>
              <w:right w:val="single" w:color="000000" w:sz="4" w:space="0"/>
            </w:tcBorders>
            <w:noWrap/>
            <w:vAlign w:val="center"/>
          </w:tcPr>
          <w:p w14:paraId="547F414B">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eastAsia="zh-CN"/>
              </w:rPr>
            </w:pPr>
            <w:r>
              <w:rPr>
                <w:rFonts w:hint="eastAsia" w:ascii="仿宋" w:hAnsi="仿宋" w:eastAsia="仿宋" w:cs="仿宋"/>
                <w:i w:val="0"/>
                <w:iCs w:val="0"/>
                <w:color w:val="auto"/>
                <w:sz w:val="28"/>
                <w:szCs w:val="28"/>
                <w:highlight w:val="none"/>
                <w:u w:val="none"/>
                <w:lang w:val="en-US" w:eastAsia="zh-CN"/>
              </w:rPr>
              <w:t>360</w:t>
            </w:r>
          </w:p>
        </w:tc>
        <w:tc>
          <w:tcPr>
            <w:tcW w:w="700" w:type="pct"/>
            <w:tcBorders>
              <w:top w:val="single" w:color="000000" w:sz="4" w:space="0"/>
              <w:left w:val="single" w:color="000000" w:sz="4" w:space="0"/>
              <w:bottom w:val="single" w:color="000000" w:sz="4" w:space="0"/>
              <w:right w:val="single" w:color="000000" w:sz="4" w:space="0"/>
            </w:tcBorders>
            <w:noWrap/>
            <w:vAlign w:val="center"/>
          </w:tcPr>
          <w:p w14:paraId="443EA52E">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lang w:val="en-US" w:eastAsia="zh-CN"/>
              </w:rPr>
            </w:pPr>
          </w:p>
        </w:tc>
      </w:tr>
      <w:tr w14:paraId="1842C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97" w:type="pct"/>
            <w:tcBorders>
              <w:top w:val="single" w:color="000000" w:sz="4" w:space="0"/>
              <w:left w:val="single" w:color="000000" w:sz="4" w:space="0"/>
              <w:bottom w:val="single" w:color="000000" w:sz="4" w:space="0"/>
              <w:right w:val="single" w:color="000000" w:sz="4" w:space="0"/>
            </w:tcBorders>
            <w:noWrap/>
            <w:vAlign w:val="center"/>
          </w:tcPr>
          <w:p w14:paraId="087EBD0A">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5</w:t>
            </w:r>
          </w:p>
        </w:tc>
        <w:tc>
          <w:tcPr>
            <w:tcW w:w="1045" w:type="pct"/>
            <w:tcBorders>
              <w:top w:val="single" w:color="000000" w:sz="4" w:space="0"/>
              <w:left w:val="single" w:color="000000" w:sz="4" w:space="0"/>
              <w:bottom w:val="single" w:color="000000" w:sz="4" w:space="0"/>
              <w:right w:val="single" w:color="000000" w:sz="4" w:space="0"/>
            </w:tcBorders>
            <w:noWrap/>
            <w:vAlign w:val="center"/>
          </w:tcPr>
          <w:p w14:paraId="5EF70438">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蔗糖风味糖浆</w:t>
            </w:r>
          </w:p>
        </w:tc>
        <w:tc>
          <w:tcPr>
            <w:tcW w:w="1070" w:type="pct"/>
            <w:tcBorders>
              <w:top w:val="single" w:color="000000" w:sz="4" w:space="0"/>
              <w:left w:val="single" w:color="000000" w:sz="4" w:space="0"/>
              <w:bottom w:val="single" w:color="000000" w:sz="4" w:space="0"/>
              <w:right w:val="single" w:color="000000" w:sz="4" w:space="0"/>
            </w:tcBorders>
            <w:noWrap w:val="0"/>
            <w:vAlign w:val="center"/>
          </w:tcPr>
          <w:p w14:paraId="7EB238ED">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6.5kg/瓶</w:t>
            </w:r>
          </w:p>
        </w:tc>
        <w:tc>
          <w:tcPr>
            <w:tcW w:w="994" w:type="pct"/>
            <w:tcBorders>
              <w:top w:val="single" w:color="000000" w:sz="4" w:space="0"/>
              <w:left w:val="single" w:color="000000" w:sz="4" w:space="0"/>
              <w:bottom w:val="single" w:color="000000" w:sz="4" w:space="0"/>
              <w:right w:val="single" w:color="000000" w:sz="4" w:space="0"/>
            </w:tcBorders>
            <w:noWrap/>
            <w:vAlign w:val="center"/>
          </w:tcPr>
          <w:p w14:paraId="383D7F5C">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瓶</w:t>
            </w:r>
          </w:p>
        </w:tc>
        <w:tc>
          <w:tcPr>
            <w:tcW w:w="692" w:type="pct"/>
            <w:tcBorders>
              <w:top w:val="single" w:color="000000" w:sz="4" w:space="0"/>
              <w:left w:val="single" w:color="000000" w:sz="4" w:space="0"/>
              <w:bottom w:val="single" w:color="000000" w:sz="4" w:space="0"/>
              <w:right w:val="single" w:color="000000" w:sz="4" w:space="0"/>
            </w:tcBorders>
            <w:noWrap/>
            <w:vAlign w:val="center"/>
          </w:tcPr>
          <w:p w14:paraId="40F84488">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30</w:t>
            </w:r>
          </w:p>
        </w:tc>
        <w:tc>
          <w:tcPr>
            <w:tcW w:w="700" w:type="pct"/>
            <w:tcBorders>
              <w:top w:val="single" w:color="000000" w:sz="4" w:space="0"/>
              <w:left w:val="single" w:color="000000" w:sz="4" w:space="0"/>
              <w:bottom w:val="single" w:color="000000" w:sz="4" w:space="0"/>
              <w:right w:val="single" w:color="000000" w:sz="4" w:space="0"/>
            </w:tcBorders>
            <w:noWrap/>
            <w:vAlign w:val="center"/>
          </w:tcPr>
          <w:p w14:paraId="002F827F">
            <w:pPr>
              <w:keepNext w:val="0"/>
              <w:keepLines w:val="0"/>
              <w:widowControl/>
              <w:suppressLineNumbers w:val="0"/>
              <w:jc w:val="center"/>
              <w:textAlignment w:val="center"/>
              <w:rPr>
                <w:rFonts w:hint="eastAsia" w:ascii="仿宋" w:hAnsi="仿宋" w:eastAsia="仿宋" w:cs="仿宋"/>
                <w:i w:val="0"/>
                <w:iCs w:val="0"/>
                <w:color w:val="auto"/>
                <w:kern w:val="0"/>
                <w:sz w:val="28"/>
                <w:szCs w:val="28"/>
                <w:highlight w:val="none"/>
                <w:u w:val="none"/>
                <w:lang w:val="en-US" w:eastAsia="zh-CN" w:bidi="ar"/>
              </w:rPr>
            </w:pPr>
          </w:p>
        </w:tc>
      </w:tr>
      <w:tr w14:paraId="6A64C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8" w:hRule="atLeast"/>
        </w:trPr>
        <w:tc>
          <w:tcPr>
            <w:tcW w:w="5000" w:type="pct"/>
            <w:gridSpan w:val="6"/>
            <w:tcBorders>
              <w:top w:val="single" w:color="000000" w:sz="4" w:space="0"/>
              <w:left w:val="single" w:color="000000" w:sz="4" w:space="0"/>
              <w:bottom w:val="single" w:color="000000" w:sz="4" w:space="0"/>
              <w:right w:val="single" w:color="000000" w:sz="4" w:space="0"/>
            </w:tcBorders>
            <w:noWrap/>
            <w:vAlign w:val="center"/>
          </w:tcPr>
          <w:p w14:paraId="726440EE">
            <w:pPr>
              <w:keepNext w:val="0"/>
              <w:keepLines w:val="0"/>
              <w:widowControl/>
              <w:suppressLineNumbers w:val="0"/>
              <w:jc w:val="center"/>
              <w:textAlignment w:val="center"/>
              <w:rPr>
                <w:rFonts w:hint="default" w:ascii="仿宋" w:hAnsi="仿宋" w:eastAsia="仿宋" w:cs="仿宋"/>
                <w:i w:val="0"/>
                <w:iCs w:val="0"/>
                <w:color w:val="auto"/>
                <w:kern w:val="0"/>
                <w:sz w:val="28"/>
                <w:szCs w:val="28"/>
                <w:highlight w:val="none"/>
                <w:u w:val="single"/>
                <w:lang w:val="en-US" w:eastAsia="zh-CN" w:bidi="ar"/>
              </w:rPr>
            </w:pPr>
            <w:r>
              <w:rPr>
                <w:rFonts w:hint="eastAsia" w:ascii="仿宋" w:hAnsi="仿宋" w:eastAsia="仿宋" w:cs="仿宋"/>
                <w:i w:val="0"/>
                <w:iCs w:val="0"/>
                <w:color w:val="auto"/>
                <w:kern w:val="0"/>
                <w:sz w:val="28"/>
                <w:szCs w:val="28"/>
                <w:highlight w:val="none"/>
                <w:u w:val="none"/>
                <w:lang w:val="en-US" w:eastAsia="zh-CN" w:bidi="ar"/>
              </w:rPr>
              <w:t xml:space="preserve">总价（大写）： </w:t>
            </w:r>
            <w:r>
              <w:rPr>
                <w:rFonts w:hint="eastAsia" w:ascii="仿宋" w:hAnsi="仿宋" w:eastAsia="仿宋" w:cs="仿宋"/>
                <w:i w:val="0"/>
                <w:iCs w:val="0"/>
                <w:color w:val="auto"/>
                <w:kern w:val="0"/>
                <w:sz w:val="28"/>
                <w:szCs w:val="28"/>
                <w:highlight w:val="none"/>
                <w:u w:val="single"/>
                <w:lang w:val="en-US" w:eastAsia="zh-CN" w:bidi="ar"/>
              </w:rPr>
              <w:t xml:space="preserve">           </w:t>
            </w:r>
            <w:r>
              <w:rPr>
                <w:rFonts w:hint="eastAsia" w:ascii="仿宋" w:hAnsi="仿宋" w:eastAsia="仿宋" w:cs="仿宋"/>
                <w:i w:val="0"/>
                <w:iCs w:val="0"/>
                <w:color w:val="auto"/>
                <w:kern w:val="0"/>
                <w:sz w:val="28"/>
                <w:szCs w:val="28"/>
                <w:highlight w:val="none"/>
                <w:u w:val="none"/>
                <w:lang w:val="en-US" w:eastAsia="zh-CN" w:bidi="ar"/>
              </w:rPr>
              <w:t>万元</w:t>
            </w:r>
          </w:p>
        </w:tc>
      </w:tr>
    </w:tbl>
    <w:p w14:paraId="7EE3EED5">
      <w:pPr>
        <w:rPr>
          <w:rFonts w:hint="default"/>
          <w:lang w:val="en-US" w:eastAsia="zh-CN"/>
        </w:rPr>
      </w:pPr>
    </w:p>
    <w:p w14:paraId="7CE64D7F">
      <w:pPr>
        <w:jc w:val="left"/>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备注：报价表如有列举项目不全的，各报价公司可以在原表上添项，需对每项内容进行报价，不能改变原表格内容。报价合计总价在列表末汇总，此报价单须盖公章单独密封。</w:t>
      </w:r>
    </w:p>
    <w:p w14:paraId="158DE51E">
      <w:pPr>
        <w:rPr>
          <w:rFonts w:hint="eastAsia"/>
          <w:color w:val="auto"/>
          <w:lang w:val="en-US" w:eastAsia="zh-CN"/>
        </w:rPr>
      </w:pPr>
      <w:r>
        <w:rPr>
          <w:rFonts w:hint="eastAsia"/>
          <w:color w:val="auto"/>
          <w:lang w:val="en-US" w:eastAsia="zh-CN"/>
        </w:rPr>
        <w:br w:type="page"/>
      </w:r>
    </w:p>
    <w:p w14:paraId="0C9EDD6A">
      <w:pPr>
        <w:rPr>
          <w:rFonts w:hint="eastAsia"/>
          <w:color w:val="auto"/>
          <w:lang w:val="en-US" w:eastAsia="zh-CN"/>
        </w:rPr>
      </w:pPr>
    </w:p>
    <w:p w14:paraId="7411390B">
      <w:pPr>
        <w:spacing w:line="360" w:lineRule="auto"/>
        <w:outlineLvl w:val="1"/>
        <w:rPr>
          <w:color w:val="auto"/>
        </w:rPr>
      </w:pPr>
      <w:r>
        <w:rPr>
          <w:rFonts w:hint="eastAsia" w:ascii="仿宋" w:hAnsi="仿宋" w:eastAsia="仿宋" w:cs="仿宋"/>
          <w:b/>
          <w:bCs/>
          <w:color w:val="auto"/>
          <w:kern w:val="2"/>
          <w:sz w:val="32"/>
          <w:szCs w:val="32"/>
          <w:lang w:val="en-US" w:eastAsia="zh-CN" w:bidi="ar-SA"/>
        </w:rPr>
        <w:t>附件3：报名登记表</w:t>
      </w:r>
    </w:p>
    <w:p w14:paraId="39D07B4E">
      <w:pPr>
        <w:jc w:val="center"/>
        <w:rPr>
          <w:rFonts w:ascii="华文中宋" w:hAnsi="华文中宋" w:eastAsia="华文中宋"/>
          <w:b/>
          <w:color w:val="auto"/>
          <w:sz w:val="36"/>
          <w:szCs w:val="36"/>
        </w:rPr>
      </w:pPr>
      <w:r>
        <w:rPr>
          <w:rFonts w:hint="eastAsia" w:ascii="华文中宋" w:hAnsi="华文中宋" w:eastAsia="华文中宋"/>
          <w:b/>
          <w:color w:val="auto"/>
          <w:sz w:val="36"/>
          <w:szCs w:val="36"/>
        </w:rPr>
        <w:t>报名登记表</w:t>
      </w:r>
    </w:p>
    <w:p w14:paraId="21D77AB7">
      <w:pPr>
        <w:rPr>
          <w:color w:val="auto"/>
        </w:rPr>
      </w:pPr>
    </w:p>
    <w:tbl>
      <w:tblPr>
        <w:tblStyle w:val="15"/>
        <w:tblW w:w="9432"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20"/>
        <w:gridCol w:w="1980"/>
        <w:gridCol w:w="1440"/>
        <w:gridCol w:w="2592"/>
      </w:tblGrid>
      <w:tr w14:paraId="3EDA0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72DE5C7A">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报名项目名称（包号）</w:t>
            </w:r>
          </w:p>
        </w:tc>
        <w:tc>
          <w:tcPr>
            <w:tcW w:w="6012" w:type="dxa"/>
            <w:gridSpan w:val="3"/>
            <w:tcBorders>
              <w:top w:val="single" w:color="auto" w:sz="4" w:space="0"/>
              <w:left w:val="single" w:color="auto" w:sz="4" w:space="0"/>
              <w:bottom w:val="single" w:color="auto" w:sz="4" w:space="0"/>
              <w:right w:val="single" w:color="auto" w:sz="4" w:space="0"/>
            </w:tcBorders>
            <w:noWrap w:val="0"/>
            <w:vAlign w:val="center"/>
          </w:tcPr>
          <w:p w14:paraId="49B10AA1">
            <w:pPr>
              <w:jc w:val="center"/>
              <w:rPr>
                <w:rFonts w:hint="eastAsia" w:ascii="仿宋" w:hAnsi="仿宋" w:eastAsia="仿宋"/>
                <w:color w:val="auto"/>
                <w:kern w:val="2"/>
                <w:sz w:val="28"/>
                <w:szCs w:val="28"/>
              </w:rPr>
            </w:pPr>
            <w:r>
              <w:rPr>
                <w:rFonts w:hint="eastAsia" w:ascii="仿宋" w:hAnsi="仿宋" w:eastAsia="仿宋"/>
                <w:color w:val="auto"/>
                <w:kern w:val="2"/>
                <w:sz w:val="28"/>
                <w:szCs w:val="28"/>
              </w:rPr>
              <w:t>成都市新津区中医医院2026年</w:t>
            </w:r>
          </w:p>
          <w:p w14:paraId="68EE4876">
            <w:pPr>
              <w:jc w:val="center"/>
              <w:rPr>
                <w:rFonts w:ascii="仿宋" w:hAnsi="仿宋" w:eastAsia="仿宋"/>
                <w:color w:val="auto"/>
                <w:kern w:val="2"/>
                <w:sz w:val="28"/>
                <w:szCs w:val="28"/>
              </w:rPr>
            </w:pPr>
            <w:r>
              <w:rPr>
                <w:rFonts w:hint="eastAsia" w:ascii="仿宋" w:hAnsi="仿宋" w:eastAsia="仿宋"/>
                <w:color w:val="auto"/>
                <w:kern w:val="2"/>
                <w:sz w:val="28"/>
                <w:szCs w:val="28"/>
              </w:rPr>
              <w:t>甘草先生中药咖啡店原材料采购项目询预算价</w:t>
            </w:r>
          </w:p>
        </w:tc>
      </w:tr>
      <w:tr w14:paraId="691F6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7BAEBC4C">
            <w:pPr>
              <w:ind w:firstLine="280" w:firstLineChars="100"/>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报名单位 /个人名称</w:t>
            </w:r>
          </w:p>
          <w:p w14:paraId="3E92967C">
            <w:pPr>
              <w:ind w:firstLine="236" w:firstLineChars="98"/>
              <w:rPr>
                <w:rFonts w:ascii="仿宋" w:hAnsi="仿宋" w:eastAsia="仿宋"/>
                <w:b/>
                <w:color w:val="auto"/>
                <w:kern w:val="2"/>
                <w:sz w:val="24"/>
                <w:szCs w:val="24"/>
              </w:rPr>
            </w:pPr>
            <w:r>
              <w:rPr>
                <w:rFonts w:hint="eastAsia" w:ascii="仿宋" w:hAnsi="仿宋" w:eastAsia="仿宋"/>
                <w:b/>
                <w:color w:val="auto"/>
                <w:kern w:val="2"/>
                <w:sz w:val="24"/>
              </w:rPr>
              <w:t>(统一社会信用代码/税号)</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69AE1962">
            <w:pPr>
              <w:jc w:val="center"/>
              <w:rPr>
                <w:rFonts w:hint="default" w:ascii="仿宋" w:hAnsi="仿宋" w:eastAsia="仿宋"/>
                <w:color w:val="auto"/>
                <w:kern w:val="2"/>
                <w:sz w:val="28"/>
                <w:szCs w:val="28"/>
                <w:lang w:val="en-US" w:eastAsia="zh-CN"/>
              </w:rPr>
            </w:pPr>
            <w:r>
              <w:rPr>
                <w:rFonts w:hint="eastAsia"/>
                <w:color w:val="auto"/>
                <w:kern w:val="2"/>
                <w:sz w:val="28"/>
                <w:szCs w:val="28"/>
                <w:lang w:val="en-US" w:eastAsia="zh-CN"/>
              </w:rPr>
              <w:t xml:space="preserve">                              </w:t>
            </w:r>
            <w:r>
              <w:rPr>
                <w:rFonts w:hint="eastAsia" w:ascii="仿宋" w:hAnsi="仿宋" w:eastAsia="仿宋" w:cs="仿宋"/>
                <w:color w:val="auto"/>
                <w:kern w:val="2"/>
                <w:sz w:val="28"/>
                <w:szCs w:val="28"/>
                <w:lang w:val="en-US" w:eastAsia="zh-CN" w:bidi="ar-SA"/>
              </w:rPr>
              <w:t>（盖章）</w:t>
            </w:r>
          </w:p>
        </w:tc>
      </w:tr>
      <w:tr w14:paraId="50178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190FB7BF">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单位  / 个人地址</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111F5BF7">
            <w:pPr>
              <w:jc w:val="center"/>
              <w:rPr>
                <w:rFonts w:ascii="仿宋" w:hAnsi="仿宋" w:eastAsia="仿宋"/>
                <w:color w:val="auto"/>
                <w:kern w:val="2"/>
                <w:sz w:val="28"/>
                <w:szCs w:val="28"/>
              </w:rPr>
            </w:pPr>
          </w:p>
        </w:tc>
      </w:tr>
      <w:tr w14:paraId="593B8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0B9E7A6C">
            <w:pPr>
              <w:jc w:val="center"/>
              <w:rPr>
                <w:rFonts w:hint="eastAsia" w:ascii="仿宋" w:hAnsi="仿宋" w:eastAsia="仿宋"/>
                <w:color w:val="auto"/>
                <w:kern w:val="2"/>
                <w:sz w:val="28"/>
                <w:szCs w:val="28"/>
                <w:lang w:eastAsia="zh-CN"/>
              </w:rPr>
            </w:pPr>
            <w:r>
              <w:rPr>
                <w:rFonts w:hint="eastAsia" w:ascii="仿宋" w:hAnsi="仿宋" w:eastAsia="仿宋"/>
                <w:color w:val="auto"/>
                <w:kern w:val="2"/>
                <w:sz w:val="28"/>
                <w:szCs w:val="28"/>
              </w:rPr>
              <w:t>单位电话</w:t>
            </w:r>
            <w:r>
              <w:rPr>
                <w:rFonts w:hint="eastAsia" w:ascii="仿宋" w:hAnsi="仿宋" w:eastAsia="仿宋"/>
                <w:color w:val="auto"/>
                <w:kern w:val="2"/>
                <w:sz w:val="24"/>
              </w:rPr>
              <w:t xml:space="preserve"> </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4F170359">
            <w:pPr>
              <w:rPr>
                <w:rFonts w:ascii="仿宋" w:hAnsi="仿宋" w:eastAsia="仿宋"/>
                <w:color w:val="auto"/>
                <w:kern w:val="2"/>
                <w:sz w:val="24"/>
                <w:szCs w:val="24"/>
              </w:rPr>
            </w:pPr>
          </w:p>
        </w:tc>
      </w:tr>
      <w:tr w14:paraId="03720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54DB846E">
            <w:pPr>
              <w:jc w:val="center"/>
              <w:rPr>
                <w:rFonts w:ascii="仿宋" w:hAnsi="仿宋" w:eastAsia="仿宋"/>
                <w:color w:val="auto"/>
                <w:kern w:val="2"/>
                <w:sz w:val="28"/>
                <w:szCs w:val="28"/>
              </w:rPr>
            </w:pPr>
            <w:r>
              <w:rPr>
                <w:rFonts w:hint="eastAsia"/>
                <w:color w:val="auto"/>
                <w:kern w:val="2"/>
                <w:sz w:val="28"/>
                <w:szCs w:val="28"/>
                <w:lang w:val="en-US" w:eastAsia="zh-CN"/>
              </w:rPr>
              <w:t>*经办</w:t>
            </w:r>
            <w:r>
              <w:rPr>
                <w:rFonts w:hint="eastAsia" w:ascii="仿宋" w:hAnsi="仿宋" w:eastAsia="仿宋"/>
                <w:color w:val="auto"/>
                <w:kern w:val="2"/>
                <w:sz w:val="28"/>
                <w:szCs w:val="28"/>
              </w:rPr>
              <w:t>联系人</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7C535673">
            <w:pPr>
              <w:jc w:val="center"/>
              <w:rPr>
                <w:rFonts w:ascii="仿宋" w:hAnsi="仿宋" w:eastAsia="仿宋"/>
                <w:color w:val="auto"/>
                <w:kern w:val="2"/>
                <w:sz w:val="28"/>
                <w:szCs w:val="28"/>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14580632">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手 机</w:t>
            </w:r>
          </w:p>
        </w:tc>
        <w:tc>
          <w:tcPr>
            <w:tcW w:w="2592" w:type="dxa"/>
            <w:tcBorders>
              <w:top w:val="single" w:color="auto" w:sz="4" w:space="0"/>
              <w:left w:val="single" w:color="auto" w:sz="4" w:space="0"/>
              <w:bottom w:val="single" w:color="auto" w:sz="4" w:space="0"/>
              <w:right w:val="single" w:color="auto" w:sz="4" w:space="0"/>
            </w:tcBorders>
            <w:noWrap w:val="0"/>
            <w:vAlign w:val="top"/>
          </w:tcPr>
          <w:p w14:paraId="506E7385">
            <w:pPr>
              <w:jc w:val="center"/>
              <w:rPr>
                <w:rFonts w:ascii="仿宋" w:hAnsi="仿宋" w:eastAsia="仿宋"/>
                <w:color w:val="auto"/>
                <w:kern w:val="2"/>
                <w:sz w:val="28"/>
                <w:szCs w:val="28"/>
              </w:rPr>
            </w:pPr>
          </w:p>
        </w:tc>
      </w:tr>
      <w:tr w14:paraId="0CDEA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1F598075">
            <w:pPr>
              <w:jc w:val="center"/>
              <w:rPr>
                <w:rFonts w:ascii="仿宋" w:hAnsi="仿宋" w:eastAsia="仿宋"/>
                <w:color w:val="auto"/>
                <w:kern w:val="2"/>
                <w:sz w:val="28"/>
                <w:szCs w:val="28"/>
              </w:rPr>
            </w:pPr>
            <w:r>
              <w:rPr>
                <w:rFonts w:hint="eastAsia" w:ascii="仿宋" w:hAnsi="仿宋" w:eastAsia="仿宋"/>
                <w:color w:val="auto"/>
                <w:kern w:val="2"/>
                <w:sz w:val="28"/>
                <w:szCs w:val="28"/>
              </w:rPr>
              <w:t>邮     箱</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62BD9782">
            <w:pPr>
              <w:jc w:val="center"/>
              <w:rPr>
                <w:rFonts w:ascii="仿宋" w:hAnsi="仿宋" w:eastAsia="仿宋"/>
                <w:color w:val="auto"/>
                <w:kern w:val="2"/>
                <w:sz w:val="28"/>
                <w:szCs w:val="28"/>
              </w:rPr>
            </w:pPr>
          </w:p>
        </w:tc>
      </w:tr>
      <w:tr w14:paraId="53FE1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2A0FEA5F">
            <w:pPr>
              <w:jc w:val="center"/>
              <w:rPr>
                <w:rFonts w:ascii="仿宋" w:hAnsi="仿宋" w:eastAsia="仿宋"/>
                <w:color w:val="auto"/>
                <w:kern w:val="2"/>
                <w:sz w:val="28"/>
                <w:szCs w:val="28"/>
              </w:rPr>
            </w:pPr>
            <w:r>
              <w:rPr>
                <w:rFonts w:hint="eastAsia" w:ascii="仿宋" w:hAnsi="仿宋" w:eastAsia="仿宋"/>
                <w:color w:val="auto"/>
                <w:kern w:val="2"/>
                <w:sz w:val="28"/>
                <w:szCs w:val="28"/>
              </w:rPr>
              <w:t>备     注</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30323A3B">
            <w:pPr>
              <w:rPr>
                <w:rFonts w:ascii="仿宋" w:hAnsi="仿宋" w:eastAsia="仿宋"/>
                <w:color w:val="auto"/>
                <w:kern w:val="2"/>
                <w:sz w:val="28"/>
                <w:szCs w:val="28"/>
              </w:rPr>
            </w:pPr>
          </w:p>
        </w:tc>
      </w:tr>
    </w:tbl>
    <w:p w14:paraId="4B6E4448">
      <w:pPr>
        <w:spacing w:line="360" w:lineRule="auto"/>
        <w:ind w:firstLine="480" w:firstLineChars="200"/>
        <w:rPr>
          <w:rFonts w:hint="default" w:ascii="仿宋" w:hAnsi="仿宋" w:eastAsia="仿宋" w:cs="Times New Roman"/>
          <w:color w:val="auto"/>
          <w:sz w:val="24"/>
          <w:szCs w:val="24"/>
          <w:lang w:val="en-US" w:eastAsia="zh-CN"/>
        </w:rPr>
      </w:pPr>
      <w:r>
        <w:rPr>
          <w:rFonts w:hint="eastAsia" w:ascii="仿宋" w:hAnsi="仿宋" w:eastAsia="仿宋" w:cs="Times New Roman"/>
          <w:color w:val="auto"/>
          <w:sz w:val="24"/>
          <w:szCs w:val="24"/>
          <w:lang w:eastAsia="zh-CN"/>
        </w:rPr>
        <w:t>采购单位联系人：</w:t>
      </w:r>
      <w:r>
        <w:rPr>
          <w:rFonts w:hint="eastAsia" w:ascii="仿宋" w:hAnsi="仿宋" w:eastAsia="仿宋" w:cs="Times New Roman"/>
          <w:color w:val="auto"/>
          <w:sz w:val="24"/>
          <w:szCs w:val="24"/>
          <w:lang w:val="en-US" w:eastAsia="zh-CN"/>
        </w:rPr>
        <w:t>潘老师、周</w:t>
      </w:r>
      <w:r>
        <w:rPr>
          <w:rFonts w:hint="eastAsia" w:ascii="仿宋" w:hAnsi="仿宋" w:eastAsia="仿宋" w:cs="Times New Roman"/>
          <w:color w:val="auto"/>
          <w:sz w:val="24"/>
          <w:szCs w:val="24"/>
          <w:lang w:eastAsia="zh-CN"/>
        </w:rPr>
        <w:t>老师</w:t>
      </w:r>
      <w:r>
        <w:rPr>
          <w:rFonts w:hint="eastAsia" w:ascii="仿宋" w:hAnsi="仿宋" w:eastAsia="仿宋" w:cs="Times New Roman"/>
          <w:color w:val="auto"/>
          <w:sz w:val="24"/>
          <w:szCs w:val="24"/>
          <w:lang w:val="en-US" w:eastAsia="zh-CN"/>
        </w:rPr>
        <w:t xml:space="preserve"> 028-82526150</w:t>
      </w:r>
      <w:r>
        <w:rPr>
          <w:rFonts w:hint="eastAsia" w:ascii="仿宋" w:hAnsi="仿宋" w:eastAsia="仿宋" w:cs="Times New Roman"/>
          <w:color w:val="auto"/>
          <w:sz w:val="24"/>
          <w:szCs w:val="24"/>
          <w:lang w:eastAsia="zh-CN"/>
        </w:rPr>
        <w:t>，</w:t>
      </w:r>
      <w:r>
        <w:rPr>
          <w:rFonts w:hint="eastAsia" w:ascii="仿宋" w:hAnsi="仿宋" w:eastAsia="仿宋" w:cs="Times New Roman"/>
          <w:color w:val="auto"/>
          <w:sz w:val="24"/>
          <w:szCs w:val="24"/>
          <w:lang w:val="en-US" w:eastAsia="zh-CN"/>
        </w:rPr>
        <w:t>邮箱845865477@qq.com</w:t>
      </w:r>
    </w:p>
    <w:p w14:paraId="3490983D">
      <w:pPr>
        <w:spacing w:line="360" w:lineRule="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lang w:val="en-US" w:eastAsia="zh-CN"/>
        </w:rPr>
        <w:t>注:提供（1）报名登记表扫描件（2）投标单位营业执照正、副本复印件（3）</w:t>
      </w:r>
      <w:r>
        <w:rPr>
          <w:rFonts w:hint="eastAsia" w:ascii="仿宋" w:hAnsi="仿宋" w:eastAsia="仿宋" w:cs="仿宋"/>
          <w:color w:val="auto"/>
          <w:sz w:val="24"/>
          <w:szCs w:val="24"/>
          <w:lang w:val="en-US" w:eastAsia="zh-CN"/>
        </w:rPr>
        <w:t>法人和授权委托人证明文件</w:t>
      </w:r>
      <w:r>
        <w:rPr>
          <w:rFonts w:hint="eastAsia" w:ascii="仿宋" w:hAnsi="仿宋" w:eastAsia="仿宋" w:cs="Times New Roman"/>
          <w:color w:val="auto"/>
          <w:sz w:val="24"/>
          <w:szCs w:val="24"/>
          <w:lang w:val="en-US" w:eastAsia="zh-CN"/>
        </w:rPr>
        <w:t>（4）食品经营许可证扫描件（以上四条均需加盖供应商公章，提供扫描至以上邮箱）（5）</w:t>
      </w:r>
      <w:r>
        <w:rPr>
          <w:rFonts w:hint="eastAsia" w:ascii="仿宋" w:hAnsi="仿宋" w:eastAsia="仿宋" w:cs="Times New Roman"/>
          <w:color w:val="auto"/>
          <w:sz w:val="24"/>
          <w:szCs w:val="24"/>
          <w:highlight w:val="none"/>
          <w:lang w:val="en-US" w:eastAsia="zh-CN"/>
        </w:rPr>
        <w:t>递交响应文件时，把以上4项资料盖章资料一并递交，此4</w:t>
      </w:r>
      <w:bookmarkStart w:id="2" w:name="_GoBack"/>
      <w:bookmarkEnd w:id="2"/>
      <w:r>
        <w:rPr>
          <w:rFonts w:hint="eastAsia" w:ascii="仿宋" w:hAnsi="仿宋" w:eastAsia="仿宋" w:cs="Times New Roman"/>
          <w:color w:val="auto"/>
          <w:sz w:val="24"/>
          <w:szCs w:val="24"/>
          <w:highlight w:val="none"/>
          <w:lang w:val="en-US" w:eastAsia="zh-CN"/>
        </w:rPr>
        <w:t>项资料无需密封。</w:t>
      </w:r>
    </w:p>
    <w:p w14:paraId="54D42810">
      <w:pPr>
        <w:spacing w:line="360" w:lineRule="auto"/>
        <w:rPr>
          <w:color w:val="auto"/>
        </w:rPr>
      </w:pPr>
      <w:r>
        <w:rPr>
          <w:rFonts w:hint="eastAsia" w:ascii="仿宋" w:hAnsi="仿宋" w:eastAsia="仿宋" w:cs="Times New Roman"/>
          <w:color w:val="auto"/>
          <w:sz w:val="24"/>
          <w:szCs w:val="24"/>
          <w:lang w:eastAsia="zh-CN"/>
        </w:rPr>
        <w:t>投标单位请如实认真填写报名登记表和投标人信息；若因投标单位提供的错误或不实信息，对其投标事宜造成影响的，由其投标单位自行承担所有责任。</w:t>
      </w:r>
    </w:p>
    <w:sectPr>
      <w:footerReference r:id="rId3" w:type="default"/>
      <w:pgSz w:w="11906" w:h="16838"/>
      <w:pgMar w:top="1587" w:right="1587" w:bottom="158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auto"/>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embedRegular r:id="rId1" w:fontKey="{E4C362ED-6C80-4CB6-AD2E-9BCB67AF8907}"/>
  </w:font>
  <w:font w:name="仿宋_GB2312">
    <w:panose1 w:val="02010609030101010101"/>
    <w:charset w:val="86"/>
    <w:family w:val="modern"/>
    <w:pitch w:val="default"/>
    <w:sig w:usb0="00000001" w:usb1="080E0000" w:usb2="00000000" w:usb3="00000000" w:csb0="00040000" w:csb1="00000000"/>
    <w:embedRegular r:id="rId2" w:fontKey="{79BB21DC-4ADF-4F8C-B9E5-6908ED652F2B}"/>
  </w:font>
  <w:font w:name="华文中宋">
    <w:panose1 w:val="02010600040101010101"/>
    <w:charset w:val="86"/>
    <w:family w:val="auto"/>
    <w:pitch w:val="default"/>
    <w:sig w:usb0="00000287" w:usb1="080F0000" w:usb2="00000000" w:usb3="00000000" w:csb0="0004009F" w:csb1="DFD70000"/>
    <w:embedRegular r:id="rId3" w:fontKey="{A41CFDF9-57A6-4204-A150-196D55EC4D78}"/>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FD9C9">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D79BC6">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8D79BC6">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6B2D59"/>
    <w:multiLevelType w:val="singleLevel"/>
    <w:tmpl w:val="E56B2D5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xMzNiN2U5MGRhMmFkMmQwZmU4Y2JkNjJlMjQ4YTMifQ=="/>
  </w:docVars>
  <w:rsids>
    <w:rsidRoot w:val="00000000"/>
    <w:rsid w:val="004936F5"/>
    <w:rsid w:val="010E38B9"/>
    <w:rsid w:val="01983742"/>
    <w:rsid w:val="037574EA"/>
    <w:rsid w:val="03C14F9B"/>
    <w:rsid w:val="06140401"/>
    <w:rsid w:val="06E31D05"/>
    <w:rsid w:val="081A4D48"/>
    <w:rsid w:val="083D3697"/>
    <w:rsid w:val="08F2390F"/>
    <w:rsid w:val="08F55D20"/>
    <w:rsid w:val="095405EF"/>
    <w:rsid w:val="097B39EB"/>
    <w:rsid w:val="09B94F9F"/>
    <w:rsid w:val="0A874C41"/>
    <w:rsid w:val="0A9B3267"/>
    <w:rsid w:val="0AB20C9C"/>
    <w:rsid w:val="0B156206"/>
    <w:rsid w:val="0B5918E5"/>
    <w:rsid w:val="0CD85E9D"/>
    <w:rsid w:val="0CEC01E6"/>
    <w:rsid w:val="0DA11FD2"/>
    <w:rsid w:val="0EB126E9"/>
    <w:rsid w:val="10B14879"/>
    <w:rsid w:val="11213D01"/>
    <w:rsid w:val="12042B30"/>
    <w:rsid w:val="126F67ED"/>
    <w:rsid w:val="1377342C"/>
    <w:rsid w:val="13FE0509"/>
    <w:rsid w:val="14D42C8D"/>
    <w:rsid w:val="15604521"/>
    <w:rsid w:val="156D6775"/>
    <w:rsid w:val="179130B8"/>
    <w:rsid w:val="179B7A92"/>
    <w:rsid w:val="18B340A6"/>
    <w:rsid w:val="18BB1A7C"/>
    <w:rsid w:val="18D279C8"/>
    <w:rsid w:val="190653E0"/>
    <w:rsid w:val="1918274B"/>
    <w:rsid w:val="192D5B82"/>
    <w:rsid w:val="19504090"/>
    <w:rsid w:val="196A0064"/>
    <w:rsid w:val="1A0E09F0"/>
    <w:rsid w:val="1B7C3AD4"/>
    <w:rsid w:val="1E767068"/>
    <w:rsid w:val="1F51661D"/>
    <w:rsid w:val="1FEB04EB"/>
    <w:rsid w:val="21CB18BC"/>
    <w:rsid w:val="24036A14"/>
    <w:rsid w:val="259A0116"/>
    <w:rsid w:val="25BF34E6"/>
    <w:rsid w:val="28081A55"/>
    <w:rsid w:val="28273A3D"/>
    <w:rsid w:val="299F4E43"/>
    <w:rsid w:val="2A50295E"/>
    <w:rsid w:val="2A5850DC"/>
    <w:rsid w:val="2AB033FD"/>
    <w:rsid w:val="2B332B74"/>
    <w:rsid w:val="2B701A07"/>
    <w:rsid w:val="2BBE3953"/>
    <w:rsid w:val="2C414E70"/>
    <w:rsid w:val="2CE51C0C"/>
    <w:rsid w:val="2E7F0072"/>
    <w:rsid w:val="2EBA563C"/>
    <w:rsid w:val="2EE0733E"/>
    <w:rsid w:val="2FAE7DDE"/>
    <w:rsid w:val="313733B5"/>
    <w:rsid w:val="328D7C9C"/>
    <w:rsid w:val="32B83797"/>
    <w:rsid w:val="32DF1FDC"/>
    <w:rsid w:val="338D4C23"/>
    <w:rsid w:val="33CA19D4"/>
    <w:rsid w:val="35FA3F11"/>
    <w:rsid w:val="363E0716"/>
    <w:rsid w:val="36A24542"/>
    <w:rsid w:val="376663E7"/>
    <w:rsid w:val="37922808"/>
    <w:rsid w:val="380163AE"/>
    <w:rsid w:val="381C22E4"/>
    <w:rsid w:val="39344DD8"/>
    <w:rsid w:val="395064D7"/>
    <w:rsid w:val="39EE7A9E"/>
    <w:rsid w:val="3CE235AE"/>
    <w:rsid w:val="3EAD106F"/>
    <w:rsid w:val="40980764"/>
    <w:rsid w:val="41EE2342"/>
    <w:rsid w:val="429978DB"/>
    <w:rsid w:val="430376AF"/>
    <w:rsid w:val="43B35B15"/>
    <w:rsid w:val="43B937C9"/>
    <w:rsid w:val="440B7D6A"/>
    <w:rsid w:val="447339C1"/>
    <w:rsid w:val="45792516"/>
    <w:rsid w:val="46856199"/>
    <w:rsid w:val="47316A0D"/>
    <w:rsid w:val="47CD33E9"/>
    <w:rsid w:val="49154102"/>
    <w:rsid w:val="4A0855A2"/>
    <w:rsid w:val="4A823E29"/>
    <w:rsid w:val="4B645E12"/>
    <w:rsid w:val="4C074DD7"/>
    <w:rsid w:val="4CA566E2"/>
    <w:rsid w:val="4D905206"/>
    <w:rsid w:val="4E3E5621"/>
    <w:rsid w:val="4F2627F5"/>
    <w:rsid w:val="4FC9093A"/>
    <w:rsid w:val="50992D05"/>
    <w:rsid w:val="51AC22C1"/>
    <w:rsid w:val="51FF2B94"/>
    <w:rsid w:val="529102F8"/>
    <w:rsid w:val="530C0109"/>
    <w:rsid w:val="533F3632"/>
    <w:rsid w:val="53857839"/>
    <w:rsid w:val="55A0213D"/>
    <w:rsid w:val="56FC6C6B"/>
    <w:rsid w:val="580C5867"/>
    <w:rsid w:val="594D4AA0"/>
    <w:rsid w:val="5A13112F"/>
    <w:rsid w:val="5A61002F"/>
    <w:rsid w:val="5A8B5E8A"/>
    <w:rsid w:val="5B802AD3"/>
    <w:rsid w:val="5CD324F3"/>
    <w:rsid w:val="5D1076B3"/>
    <w:rsid w:val="5E14253A"/>
    <w:rsid w:val="5E9C6B06"/>
    <w:rsid w:val="5F6F6E00"/>
    <w:rsid w:val="5F8F5B94"/>
    <w:rsid w:val="60E70C20"/>
    <w:rsid w:val="61BD6543"/>
    <w:rsid w:val="62215335"/>
    <w:rsid w:val="633C45CA"/>
    <w:rsid w:val="64F00F67"/>
    <w:rsid w:val="65A6150C"/>
    <w:rsid w:val="66502ACA"/>
    <w:rsid w:val="68796990"/>
    <w:rsid w:val="692F0EEA"/>
    <w:rsid w:val="69FA5E67"/>
    <w:rsid w:val="6A2C3362"/>
    <w:rsid w:val="6C792A1B"/>
    <w:rsid w:val="6CAF118B"/>
    <w:rsid w:val="6D8871EF"/>
    <w:rsid w:val="6D9B3ACA"/>
    <w:rsid w:val="6E1374F8"/>
    <w:rsid w:val="6E893B0C"/>
    <w:rsid w:val="70F55EB6"/>
    <w:rsid w:val="717645B6"/>
    <w:rsid w:val="71950224"/>
    <w:rsid w:val="72EA3CE1"/>
    <w:rsid w:val="73217EED"/>
    <w:rsid w:val="73700F48"/>
    <w:rsid w:val="74C05C36"/>
    <w:rsid w:val="761D53B8"/>
    <w:rsid w:val="762D016C"/>
    <w:rsid w:val="76E557A9"/>
    <w:rsid w:val="78D9538A"/>
    <w:rsid w:val="7980722C"/>
    <w:rsid w:val="79C64BDE"/>
    <w:rsid w:val="7B4F7332"/>
    <w:rsid w:val="7B6F1AE6"/>
    <w:rsid w:val="7BD244D5"/>
    <w:rsid w:val="7C2330CA"/>
    <w:rsid w:val="7C43522B"/>
    <w:rsid w:val="7D2B53DD"/>
    <w:rsid w:val="7D480840"/>
    <w:rsid w:val="7D9E115D"/>
    <w:rsid w:val="7E013117"/>
    <w:rsid w:val="7EDE3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basedOn w:val="1"/>
    <w:next w:val="1"/>
    <w:semiHidden/>
    <w:unhideWhenUsed/>
    <w:qFormat/>
    <w:uiPriority w:val="9"/>
    <w:pPr>
      <w:keepNext/>
      <w:keepLines/>
      <w:spacing w:before="160" w:after="80"/>
      <w:outlineLvl w:val="1"/>
    </w:pPr>
    <w:rPr>
      <w:rFonts w:asciiTheme="majorHAnsi" w:hAnsiTheme="majorHAnsi" w:eastAsiaTheme="majorEastAsia" w:cstheme="majorBidi"/>
      <w:color w:val="2E54A1" w:themeColor="accent1" w:themeShade="BF"/>
      <w:sz w:val="40"/>
      <w:szCs w:val="40"/>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5">
    <w:name w:val="heading 4"/>
    <w:basedOn w:val="1"/>
    <w:next w:val="1"/>
    <w:link w:val="24"/>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Body Text 3"/>
    <w:basedOn w:val="1"/>
    <w:unhideWhenUsed/>
    <w:qFormat/>
    <w:uiPriority w:val="99"/>
    <w:pPr>
      <w:jc w:val="center"/>
    </w:pPr>
    <w:rPr>
      <w:rFonts w:hint="eastAsia" w:hAnsi="Symbol"/>
      <w:sz w:val="10"/>
      <w:szCs w:val="24"/>
    </w:rPr>
  </w:style>
  <w:style w:type="paragraph" w:styleId="8">
    <w:name w:val="Body Text"/>
    <w:basedOn w:val="1"/>
    <w:next w:val="1"/>
    <w:qFormat/>
    <w:uiPriority w:val="99"/>
    <w:pPr>
      <w:spacing w:after="120"/>
    </w:pPr>
    <w:rPr>
      <w:rFonts w:ascii="宋体" w:hAnsi="Times New Roman"/>
      <w:kern w:val="0"/>
      <w:sz w:val="34"/>
      <w:szCs w:val="20"/>
    </w:rPr>
  </w:style>
  <w:style w:type="paragraph" w:styleId="9">
    <w:name w:val="Body Text Indent"/>
    <w:basedOn w:val="1"/>
    <w:qFormat/>
    <w:uiPriority w:val="0"/>
    <w:pPr>
      <w:spacing w:line="500" w:lineRule="exact"/>
      <w:ind w:left="832" w:leftChars="832" w:firstLine="433" w:firstLineChars="196"/>
    </w:pPr>
    <w:rPr>
      <w:sz w:val="24"/>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Body Text First Indent"/>
    <w:basedOn w:val="8"/>
    <w:next w:val="1"/>
    <w:qFormat/>
    <w:uiPriority w:val="0"/>
    <w:pPr>
      <w:widowControl w:val="0"/>
      <w:spacing w:after="120" w:afterLines="0" w:line="240" w:lineRule="auto"/>
      <w:ind w:firstLine="420" w:firstLineChars="100"/>
    </w:pPr>
  </w:style>
  <w:style w:type="paragraph" w:styleId="14">
    <w:name w:val="Body Text First Indent 2"/>
    <w:basedOn w:val="9"/>
    <w:qFormat/>
    <w:uiPriority w:val="0"/>
    <w:pPr>
      <w:spacing w:after="120" w:line="240" w:lineRule="auto"/>
      <w:ind w:left="420" w:leftChars="200" w:firstLine="420"/>
    </w:pPr>
    <w:rPr>
      <w:sz w:val="21"/>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正文1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19">
    <w:name w:val="List Paragraph"/>
    <w:basedOn w:val="1"/>
    <w:qFormat/>
    <w:uiPriority w:val="34"/>
    <w:pPr>
      <w:ind w:firstLine="420" w:firstLineChars="200"/>
    </w:pPr>
    <w:rPr>
      <w:rFonts w:ascii="Times New Roman"/>
      <w:szCs w:val="22"/>
    </w:rPr>
  </w:style>
  <w:style w:type="character" w:customStyle="1" w:styleId="20">
    <w:name w:val="NormalCharacter"/>
    <w:semiHidden/>
    <w:qFormat/>
    <w:uiPriority w:val="0"/>
  </w:style>
  <w:style w:type="paragraph" w:customStyle="1" w:styleId="21">
    <w:name w:val="无间隔1"/>
    <w:qFormat/>
    <w:uiPriority w:val="0"/>
    <w:pPr>
      <w:widowControl w:val="0"/>
      <w:jc w:val="both"/>
    </w:pPr>
    <w:rPr>
      <w:rFonts w:ascii="Arial Black" w:hAnsi="Arial Black" w:eastAsia="等线" w:cs="Verdana"/>
      <w:kern w:val="2"/>
      <w:sz w:val="21"/>
      <w:szCs w:val="22"/>
      <w:lang w:val="en-US" w:eastAsia="zh-CN" w:bidi="ar-SA"/>
    </w:rPr>
  </w:style>
  <w:style w:type="paragraph" w:customStyle="1" w:styleId="22">
    <w:name w:val="null3"/>
    <w:hidden/>
    <w:qFormat/>
    <w:uiPriority w:val="0"/>
    <w:rPr>
      <w:rFonts w:hint="eastAsia" w:asciiTheme="minorHAnsi" w:hAnsiTheme="minorHAnsi" w:eastAsiaTheme="minorEastAsia" w:cstheme="minorBidi"/>
      <w:lang w:val="en-US" w:eastAsia="zh-Hans"/>
    </w:rPr>
  </w:style>
  <w:style w:type="paragraph" w:customStyle="1" w:styleId="23">
    <w:name w:val="_Style 13"/>
    <w:qFormat/>
    <w:uiPriority w:val="0"/>
    <w:pPr>
      <w:spacing w:before="120" w:after="120" w:line="288" w:lineRule="auto"/>
      <w:ind w:left="0"/>
      <w:jc w:val="left"/>
    </w:pPr>
    <w:rPr>
      <w:rFonts w:ascii="Arial" w:hAnsi="Arial" w:eastAsia="等线" w:cs="Arial"/>
      <w:sz w:val="22"/>
      <w:szCs w:val="22"/>
    </w:rPr>
  </w:style>
  <w:style w:type="character" w:customStyle="1" w:styleId="24">
    <w:name w:val="标题 4 Char"/>
    <w:link w:val="5"/>
    <w:qFormat/>
    <w:uiPriority w:val="0"/>
    <w:rPr>
      <w:rFonts w:ascii="Arial" w:hAnsi="Arial" w:eastAsia="黑体"/>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3181</Words>
  <Characters>3349</Characters>
  <Lines>0</Lines>
  <Paragraphs>0</Paragraphs>
  <TotalTime>4</TotalTime>
  <ScaleCrop>false</ScaleCrop>
  <LinksUpToDate>false</LinksUpToDate>
  <CharactersWithSpaces>3413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ASUS</cp:lastModifiedBy>
  <cp:lastPrinted>2025-12-15T03:11:00Z</cp:lastPrinted>
  <dcterms:modified xsi:type="dcterms:W3CDTF">2025-12-15T03:53:58Z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eyJoZGlkIjoiNDE1ZTFlMjFjZDEzODY3NmE0ZDIwNjM3NWU4ZDkyNWQiLCJ1c2VySWQiOiIzMzA3NDM0MzYifQ==</vt:lpwstr>
  </property>
  <property fmtid="{D5CDD505-2E9C-101B-9397-08002B2CF9AE}" pid="4" name="ICV">
    <vt:lpwstr>0CC746D3739540FD88AAD0F128CB3E35_13</vt:lpwstr>
  </property>
</Properties>
</file>